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0FD0C" w14:textId="4640E691" w:rsidR="0069381B" w:rsidRPr="000A2AB9" w:rsidRDefault="0069381B" w:rsidP="0069381B">
      <w:pPr>
        <w:jc w:val="right"/>
        <w:rPr>
          <w:color w:val="0A3296"/>
          <w:sz w:val="20"/>
        </w:rPr>
      </w:pPr>
      <w:bookmarkStart w:id="0" w:name="_GoBack"/>
      <w:bookmarkEnd w:id="0"/>
      <w:r w:rsidRPr="000A2AB9">
        <w:rPr>
          <w:color w:val="0A3296"/>
          <w:sz w:val="20"/>
        </w:rPr>
        <w:t xml:space="preserve">Brussels, </w:t>
      </w:r>
      <w:r w:rsidR="00DD1F06">
        <w:rPr>
          <w:color w:val="0A3296"/>
          <w:sz w:val="20"/>
        </w:rPr>
        <w:t>30</w:t>
      </w:r>
      <w:r w:rsidR="00DE24DC" w:rsidRPr="000A2AB9">
        <w:rPr>
          <w:color w:val="0A3296"/>
          <w:sz w:val="20"/>
        </w:rPr>
        <w:t xml:space="preserve"> June </w:t>
      </w:r>
      <w:r w:rsidRPr="000A2AB9">
        <w:rPr>
          <w:color w:val="0A3296"/>
          <w:sz w:val="20"/>
        </w:rPr>
        <w:t>2018</w:t>
      </w:r>
    </w:p>
    <w:p w14:paraId="7EA8AE5D" w14:textId="77777777" w:rsidR="0069381B" w:rsidRPr="000A2AB9" w:rsidRDefault="00194543" w:rsidP="00E356CB">
      <w:pPr>
        <w:rPr>
          <w:i/>
          <w:color w:val="0A3296"/>
          <w:sz w:val="24"/>
        </w:rPr>
      </w:pPr>
      <w:r w:rsidRPr="000A2AB9">
        <w:rPr>
          <w:i/>
          <w:noProof/>
          <w:color w:val="0A3296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29BD" wp14:editId="73BF1A0A">
                <wp:simplePos x="0" y="0"/>
                <wp:positionH relativeFrom="column">
                  <wp:posOffset>2216150</wp:posOffset>
                </wp:positionH>
                <wp:positionV relativeFrom="paragraph">
                  <wp:posOffset>86360</wp:posOffset>
                </wp:positionV>
                <wp:extent cx="15176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FE6B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pt,6.8pt" to="29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" strokecolor="#4f81bd [3204]" strokeweight="1pt"/>
            </w:pict>
          </mc:Fallback>
        </mc:AlternateContent>
      </w:r>
    </w:p>
    <w:p w14:paraId="2836337A" w14:textId="77777777" w:rsidR="0069381B" w:rsidRPr="000A2AB9" w:rsidRDefault="001F6102" w:rsidP="0069381B">
      <w:pPr>
        <w:jc w:val="center"/>
        <w:rPr>
          <w:b/>
          <w:color w:val="0A3296"/>
          <w:sz w:val="26"/>
          <w:szCs w:val="26"/>
        </w:rPr>
      </w:pPr>
      <w:r w:rsidRPr="000A2AB9">
        <w:rPr>
          <w:b/>
          <w:color w:val="0A3296"/>
          <w:sz w:val="26"/>
          <w:szCs w:val="26"/>
        </w:rPr>
        <w:t xml:space="preserve">2nd </w:t>
      </w:r>
      <w:r w:rsidR="00194543" w:rsidRPr="000A2AB9">
        <w:rPr>
          <w:b/>
          <w:color w:val="0A3296"/>
          <w:sz w:val="26"/>
          <w:szCs w:val="26"/>
        </w:rPr>
        <w:t>PRESS RELEASE</w:t>
      </w:r>
    </w:p>
    <w:p w14:paraId="42619561" w14:textId="77777777" w:rsidR="0069381B" w:rsidRPr="000A2AB9" w:rsidRDefault="00194543" w:rsidP="0069381B">
      <w:pPr>
        <w:jc w:val="center"/>
        <w:rPr>
          <w:color w:val="0A3296"/>
        </w:rPr>
      </w:pPr>
      <w:r w:rsidRPr="000A2AB9">
        <w:rPr>
          <w:i/>
          <w:noProof/>
          <w:color w:val="0A3296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6DE82" wp14:editId="70A2D1DA">
                <wp:simplePos x="0" y="0"/>
                <wp:positionH relativeFrom="column">
                  <wp:posOffset>2216150</wp:posOffset>
                </wp:positionH>
                <wp:positionV relativeFrom="paragraph">
                  <wp:posOffset>53975</wp:posOffset>
                </wp:positionV>
                <wp:extent cx="15176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3ED790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pt,4.25pt" to="29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" strokecolor="#4f81bd [3204]" strokeweight="1pt"/>
            </w:pict>
          </mc:Fallback>
        </mc:AlternateContent>
      </w:r>
    </w:p>
    <w:p w14:paraId="34AC7DB6" w14:textId="77777777" w:rsidR="0069381B" w:rsidRPr="000A2AB9" w:rsidRDefault="0069381B" w:rsidP="0069381B">
      <w:pPr>
        <w:jc w:val="center"/>
        <w:rPr>
          <w:color w:val="0A3296"/>
        </w:rPr>
      </w:pPr>
    </w:p>
    <w:p w14:paraId="585F6FEE" w14:textId="77777777" w:rsidR="0093346C" w:rsidRPr="000A2AB9" w:rsidRDefault="0069381B" w:rsidP="0069381B">
      <w:pPr>
        <w:jc w:val="center"/>
        <w:rPr>
          <w:color w:val="0A3296"/>
          <w:sz w:val="24"/>
        </w:rPr>
      </w:pPr>
      <w:r w:rsidRPr="000A2AB9">
        <w:rPr>
          <w:color w:val="0A3296"/>
          <w:sz w:val="24"/>
        </w:rPr>
        <w:t xml:space="preserve">MSTyr15 Has </w:t>
      </w:r>
      <w:r w:rsidR="00F66D34" w:rsidRPr="000A2AB9">
        <w:rPr>
          <w:color w:val="0A3296"/>
          <w:sz w:val="24"/>
        </w:rPr>
        <w:t>Improved Confidence</w:t>
      </w:r>
      <w:r w:rsidRPr="000A2AB9">
        <w:rPr>
          <w:color w:val="0A3296"/>
          <w:sz w:val="24"/>
        </w:rPr>
        <w:t xml:space="preserve"> of Energy Labels and Safety of Tyres</w:t>
      </w:r>
    </w:p>
    <w:p w14:paraId="58E0CEC1" w14:textId="77777777" w:rsidR="0069381B" w:rsidRDefault="0069381B" w:rsidP="0069381B">
      <w:pPr>
        <w:jc w:val="both"/>
        <w:rPr>
          <w:color w:val="0A3296"/>
          <w:sz w:val="24"/>
        </w:rPr>
      </w:pPr>
    </w:p>
    <w:p w14:paraId="4368ACA9" w14:textId="39E35FC3" w:rsidR="0069381B" w:rsidRDefault="0069381B" w:rsidP="0069381B">
      <w:pPr>
        <w:jc w:val="both"/>
        <w:rPr>
          <w:i/>
          <w:noProof/>
          <w:color w:val="000000"/>
          <w:sz w:val="20"/>
          <w:szCs w:val="21"/>
        </w:rPr>
      </w:pPr>
      <w:r w:rsidRPr="0069381B">
        <w:rPr>
          <w:rFonts w:cs="Calibri"/>
          <w:i/>
          <w:sz w:val="20"/>
          <w:szCs w:val="21"/>
        </w:rPr>
        <w:t>During the past 2</w:t>
      </w:r>
      <w:r w:rsidR="00DE3A8E">
        <w:rPr>
          <w:rFonts w:cs="Calibri"/>
          <w:i/>
          <w:sz w:val="20"/>
          <w:szCs w:val="21"/>
        </w:rPr>
        <w:t>8</w:t>
      </w:r>
      <w:r w:rsidRPr="0069381B">
        <w:rPr>
          <w:rFonts w:cs="Calibri"/>
          <w:i/>
          <w:sz w:val="20"/>
          <w:szCs w:val="21"/>
        </w:rPr>
        <w:t xml:space="preserve"> months, </w:t>
      </w:r>
      <w:r w:rsidRPr="0069381B">
        <w:rPr>
          <w:rFonts w:cs="Calibri"/>
          <w:i/>
          <w:color w:val="000000"/>
          <w:sz w:val="20"/>
          <w:szCs w:val="21"/>
        </w:rPr>
        <w:t xml:space="preserve">14 EU Market Surveillance Authorities and Turkey </w:t>
      </w:r>
      <w:r w:rsidRPr="0069381B">
        <w:rPr>
          <w:i/>
          <w:noProof/>
          <w:color w:val="000000"/>
          <w:sz w:val="20"/>
          <w:szCs w:val="21"/>
        </w:rPr>
        <w:t>have collaborated and successfully delivered the Market Surveillance Action on Tyres 2015</w:t>
      </w:r>
      <w:r w:rsidR="00DE3A8E">
        <w:rPr>
          <w:i/>
          <w:noProof/>
          <w:color w:val="000000"/>
          <w:sz w:val="20"/>
          <w:szCs w:val="21"/>
        </w:rPr>
        <w:t xml:space="preserve"> (MSTyr15</w:t>
      </w:r>
      <w:r w:rsidR="00D31FBF">
        <w:rPr>
          <w:i/>
          <w:noProof/>
          <w:color w:val="000000"/>
          <w:sz w:val="20"/>
          <w:szCs w:val="21"/>
        </w:rPr>
        <w:t>)</w:t>
      </w:r>
      <w:r w:rsidR="00ED5470" w:rsidRPr="00ED5470">
        <w:rPr>
          <w:rFonts w:cs="Calibri"/>
          <w:i/>
          <w:sz w:val="20"/>
          <w:szCs w:val="21"/>
        </w:rPr>
        <w:t xml:space="preserve"> </w:t>
      </w:r>
      <w:r w:rsidR="00ED5470" w:rsidRPr="0069381B">
        <w:rPr>
          <w:rFonts w:cs="Calibri"/>
          <w:i/>
          <w:sz w:val="20"/>
          <w:szCs w:val="21"/>
        </w:rPr>
        <w:t xml:space="preserve">under the </w:t>
      </w:r>
      <w:r w:rsidR="0086475F">
        <w:rPr>
          <w:rFonts w:cs="Calibri"/>
          <w:i/>
          <w:sz w:val="20"/>
          <w:szCs w:val="21"/>
        </w:rPr>
        <w:br/>
      </w:r>
      <w:r w:rsidR="00ED5470" w:rsidRPr="0069381B">
        <w:rPr>
          <w:rFonts w:cs="Calibri"/>
          <w:i/>
          <w:sz w:val="20"/>
          <w:szCs w:val="21"/>
        </w:rPr>
        <w:t xml:space="preserve">co-ordination of </w:t>
      </w:r>
      <w:hyperlink r:id="rId8" w:history="1">
        <w:r w:rsidR="00ED5470" w:rsidRPr="0069381B">
          <w:rPr>
            <w:rStyle w:val="Hipercze"/>
            <w:rFonts w:cs="Calibri"/>
            <w:i/>
            <w:sz w:val="20"/>
            <w:szCs w:val="21"/>
          </w:rPr>
          <w:t>PROSAFE</w:t>
        </w:r>
      </w:hyperlink>
      <w:r w:rsidR="00DE3A8E">
        <w:rPr>
          <w:i/>
          <w:noProof/>
          <w:color w:val="000000"/>
          <w:sz w:val="20"/>
          <w:szCs w:val="21"/>
        </w:rPr>
        <w:t>.</w:t>
      </w:r>
      <w:r w:rsidRPr="0069381B">
        <w:rPr>
          <w:i/>
          <w:noProof/>
          <w:color w:val="000000"/>
          <w:sz w:val="20"/>
          <w:szCs w:val="21"/>
        </w:rPr>
        <w:t xml:space="preserve"> </w:t>
      </w:r>
      <w:r w:rsidR="00DE3A8E">
        <w:rPr>
          <w:i/>
          <w:noProof/>
          <w:color w:val="000000"/>
          <w:sz w:val="20"/>
          <w:szCs w:val="21"/>
        </w:rPr>
        <w:t>The goal</w:t>
      </w:r>
      <w:r w:rsidR="00ED5470">
        <w:rPr>
          <w:i/>
          <w:noProof/>
          <w:color w:val="000000"/>
          <w:sz w:val="20"/>
          <w:szCs w:val="21"/>
        </w:rPr>
        <w:t xml:space="preserve"> of this </w:t>
      </w:r>
      <w:hyperlink r:id="rId9" w:history="1">
        <w:r w:rsidR="00ED5470" w:rsidRPr="00ED5470">
          <w:rPr>
            <w:rStyle w:val="Hipercze"/>
            <w:i/>
            <w:noProof/>
            <w:sz w:val="20"/>
            <w:szCs w:val="21"/>
          </w:rPr>
          <w:t>H2020</w:t>
        </w:r>
      </w:hyperlink>
      <w:r w:rsidR="00ED5470">
        <w:rPr>
          <w:i/>
          <w:noProof/>
          <w:color w:val="000000"/>
          <w:sz w:val="20"/>
          <w:szCs w:val="21"/>
        </w:rPr>
        <w:t xml:space="preserve"> project</w:t>
      </w:r>
      <w:r w:rsidR="00DE3A8E">
        <w:rPr>
          <w:i/>
          <w:noProof/>
          <w:color w:val="000000"/>
          <w:sz w:val="20"/>
          <w:szCs w:val="21"/>
        </w:rPr>
        <w:t xml:space="preserve"> has been </w:t>
      </w:r>
      <w:r w:rsidRPr="0069381B">
        <w:rPr>
          <w:i/>
          <w:noProof/>
          <w:color w:val="000000"/>
          <w:sz w:val="20"/>
          <w:szCs w:val="21"/>
        </w:rPr>
        <w:t>to enhance the functioning of the European Single Market by ensuring that the tyres regulatory measures are effectively enforced.</w:t>
      </w:r>
    </w:p>
    <w:p w14:paraId="21B4B47A" w14:textId="77777777" w:rsidR="0069381B" w:rsidRDefault="0069381B" w:rsidP="0069381B">
      <w:pPr>
        <w:jc w:val="both"/>
        <w:rPr>
          <w:i/>
          <w:noProof/>
          <w:color w:val="000000"/>
          <w:sz w:val="20"/>
          <w:szCs w:val="21"/>
        </w:rPr>
      </w:pPr>
    </w:p>
    <w:p w14:paraId="2C7C6112" w14:textId="77777777" w:rsidR="0069381B" w:rsidRDefault="0069381B" w:rsidP="0069381B">
      <w:pPr>
        <w:jc w:val="both"/>
        <w:rPr>
          <w:sz w:val="20"/>
        </w:rPr>
      </w:pPr>
    </w:p>
    <w:p w14:paraId="3AA4C495" w14:textId="31528883" w:rsidR="00176AB5" w:rsidRPr="001218CB" w:rsidRDefault="00262A96" w:rsidP="001218CB">
      <w:pPr>
        <w:jc w:val="both"/>
        <w:rPr>
          <w:noProof/>
          <w:sz w:val="20"/>
          <w:szCs w:val="21"/>
        </w:rPr>
      </w:pPr>
      <w:hyperlink r:id="rId10" w:history="1">
        <w:r w:rsidR="0069381B" w:rsidRPr="003C46D5">
          <w:rPr>
            <w:rStyle w:val="Hipercze"/>
            <w:rFonts w:cs="Calibri"/>
            <w:sz w:val="20"/>
            <w:szCs w:val="21"/>
          </w:rPr>
          <w:t>MSTyr15</w:t>
        </w:r>
      </w:hyperlink>
      <w:r w:rsidR="0069381B" w:rsidRPr="0069381B">
        <w:rPr>
          <w:rFonts w:cs="Calibri"/>
          <w:sz w:val="20"/>
          <w:szCs w:val="21"/>
        </w:rPr>
        <w:t xml:space="preserve"> is </w:t>
      </w:r>
      <w:r w:rsidR="006768C0">
        <w:rPr>
          <w:rFonts w:cs="Calibri"/>
          <w:sz w:val="20"/>
          <w:szCs w:val="21"/>
        </w:rPr>
        <w:t xml:space="preserve">funded by the </w:t>
      </w:r>
      <w:r w:rsidR="006768C0" w:rsidRPr="000A2AB9">
        <w:rPr>
          <w:rFonts w:cs="Calibri"/>
          <w:b/>
          <w:color w:val="0A3296"/>
          <w:sz w:val="20"/>
          <w:szCs w:val="21"/>
        </w:rPr>
        <w:t>European Union</w:t>
      </w:r>
      <w:r w:rsidR="006768C0" w:rsidRPr="000A2AB9">
        <w:rPr>
          <w:rFonts w:cs="Calibri"/>
          <w:color w:val="0A3296"/>
          <w:sz w:val="20"/>
          <w:szCs w:val="21"/>
        </w:rPr>
        <w:t xml:space="preserve"> </w:t>
      </w:r>
      <w:r w:rsidR="006768C0">
        <w:rPr>
          <w:rFonts w:cs="Calibri"/>
          <w:sz w:val="20"/>
          <w:szCs w:val="21"/>
        </w:rPr>
        <w:t xml:space="preserve">and has </w:t>
      </w:r>
      <w:r w:rsidR="00CB7633">
        <w:rPr>
          <w:rFonts w:cs="Calibri"/>
          <w:sz w:val="20"/>
          <w:szCs w:val="21"/>
        </w:rPr>
        <w:t>run</w:t>
      </w:r>
      <w:r w:rsidR="006768C0">
        <w:rPr>
          <w:rFonts w:cs="Calibri"/>
          <w:sz w:val="20"/>
          <w:szCs w:val="21"/>
        </w:rPr>
        <w:t xml:space="preserve"> from</w:t>
      </w:r>
      <w:r w:rsidR="0069381B" w:rsidRPr="0069381B">
        <w:rPr>
          <w:noProof/>
          <w:sz w:val="20"/>
          <w:szCs w:val="21"/>
        </w:rPr>
        <w:t xml:space="preserve"> </w:t>
      </w:r>
      <w:r w:rsidR="001A7CD2">
        <w:rPr>
          <w:noProof/>
          <w:sz w:val="20"/>
          <w:szCs w:val="21"/>
        </w:rPr>
        <w:t>March</w:t>
      </w:r>
      <w:r w:rsidR="0069381B" w:rsidRPr="0069381B">
        <w:rPr>
          <w:noProof/>
          <w:sz w:val="20"/>
          <w:szCs w:val="21"/>
        </w:rPr>
        <w:t xml:space="preserve"> 2016 </w:t>
      </w:r>
      <w:r w:rsidR="006768C0">
        <w:rPr>
          <w:noProof/>
          <w:sz w:val="20"/>
          <w:szCs w:val="21"/>
        </w:rPr>
        <w:t>to</w:t>
      </w:r>
      <w:r w:rsidR="0069381B" w:rsidRPr="0069381B">
        <w:rPr>
          <w:noProof/>
          <w:sz w:val="20"/>
          <w:szCs w:val="21"/>
        </w:rPr>
        <w:t xml:space="preserve"> </w:t>
      </w:r>
      <w:r w:rsidR="00CB7633">
        <w:rPr>
          <w:noProof/>
          <w:sz w:val="20"/>
          <w:szCs w:val="21"/>
        </w:rPr>
        <w:t xml:space="preserve">the end of </w:t>
      </w:r>
      <w:r w:rsidR="0069381B" w:rsidRPr="0069381B">
        <w:rPr>
          <w:noProof/>
          <w:sz w:val="20"/>
          <w:szCs w:val="21"/>
        </w:rPr>
        <w:t>June 2018.</w:t>
      </w:r>
      <w:r w:rsidR="00EA4ABB">
        <w:rPr>
          <w:noProof/>
          <w:sz w:val="20"/>
          <w:szCs w:val="21"/>
        </w:rPr>
        <w:t xml:space="preserve"> </w:t>
      </w:r>
      <w:r w:rsidR="00082D0B">
        <w:rPr>
          <w:noProof/>
          <w:sz w:val="20"/>
          <w:szCs w:val="21"/>
        </w:rPr>
        <w:t xml:space="preserve">The project involved the following countries: </w:t>
      </w:r>
      <w:r w:rsidR="00082D0B" w:rsidRPr="00D031DF">
        <w:rPr>
          <w:rFonts w:cs="Calibri"/>
          <w:color w:val="000000"/>
          <w:sz w:val="20"/>
          <w:szCs w:val="20"/>
        </w:rPr>
        <w:t>Belgium, Bulgaria, Croatia, Estonia, Finland, Germany, Ireland, Latvia</w:t>
      </w:r>
      <w:r w:rsidR="00082D0B" w:rsidRPr="00D031DF">
        <w:rPr>
          <w:rFonts w:cs="Calibri"/>
          <w:sz w:val="20"/>
          <w:szCs w:val="20"/>
        </w:rPr>
        <w:t>, Lithuania, Luxembourg, Poland, Romania, Spain, Sweden and Turkey</w:t>
      </w:r>
      <w:r w:rsidR="001A7CD2">
        <w:rPr>
          <w:rFonts w:cs="Calibri"/>
          <w:sz w:val="20"/>
          <w:szCs w:val="20"/>
        </w:rPr>
        <w:t>.</w:t>
      </w:r>
    </w:p>
    <w:p w14:paraId="5E16682F" w14:textId="77777777" w:rsidR="00176AB5" w:rsidRDefault="00176AB5" w:rsidP="0069381B">
      <w:pPr>
        <w:pStyle w:val="Tekstkomentarza"/>
        <w:jc w:val="both"/>
      </w:pPr>
    </w:p>
    <w:p w14:paraId="1CA7CE09" w14:textId="77777777" w:rsidR="00176AB5" w:rsidRDefault="00F66D34" w:rsidP="00176AB5">
      <w:pPr>
        <w:pStyle w:val="Tekstkomentarza"/>
        <w:jc w:val="both"/>
        <w:rPr>
          <w:rFonts w:cs="Calibri"/>
          <w:szCs w:val="21"/>
        </w:rPr>
      </w:pPr>
      <w:r>
        <w:rPr>
          <w:rFonts w:cs="Calibri"/>
          <w:szCs w:val="21"/>
        </w:rPr>
        <w:t>A</w:t>
      </w:r>
      <w:r w:rsidR="00B23EF5">
        <w:rPr>
          <w:rFonts w:cs="Calibri"/>
          <w:szCs w:val="21"/>
        </w:rPr>
        <w:t xml:space="preserve"> total of </w:t>
      </w:r>
      <w:r w:rsidR="00176AB5">
        <w:rPr>
          <w:rFonts w:cs="Calibri"/>
          <w:szCs w:val="21"/>
        </w:rPr>
        <w:t xml:space="preserve">12.241 </w:t>
      </w:r>
      <w:r w:rsidR="001A7CD2">
        <w:rPr>
          <w:rFonts w:cs="Calibri"/>
          <w:szCs w:val="21"/>
        </w:rPr>
        <w:t xml:space="preserve">labels on </w:t>
      </w:r>
      <w:r w:rsidR="009A400C">
        <w:rPr>
          <w:rFonts w:cs="Calibri"/>
          <w:szCs w:val="21"/>
        </w:rPr>
        <w:t xml:space="preserve">C1 </w:t>
      </w:r>
      <w:r w:rsidR="00176AB5">
        <w:rPr>
          <w:rFonts w:cs="Calibri"/>
          <w:szCs w:val="21"/>
        </w:rPr>
        <w:t xml:space="preserve">passenger </w:t>
      </w:r>
      <w:r w:rsidR="00780A78">
        <w:rPr>
          <w:rFonts w:cs="Calibri"/>
          <w:szCs w:val="21"/>
        </w:rPr>
        <w:t xml:space="preserve">car </w:t>
      </w:r>
      <w:r w:rsidR="00806748">
        <w:rPr>
          <w:rFonts w:cs="Calibri"/>
          <w:szCs w:val="21"/>
        </w:rPr>
        <w:t>tyre</w:t>
      </w:r>
      <w:r w:rsidR="001A7CD2">
        <w:rPr>
          <w:rFonts w:cs="Calibri"/>
          <w:szCs w:val="21"/>
        </w:rPr>
        <w:t>s</w:t>
      </w:r>
      <w:r w:rsidR="007C573E">
        <w:rPr>
          <w:rFonts w:cs="Calibri"/>
          <w:szCs w:val="21"/>
        </w:rPr>
        <w:t xml:space="preserve"> </w:t>
      </w:r>
      <w:r w:rsidR="00CA6B31">
        <w:t>have</w:t>
      </w:r>
      <w:r w:rsidR="00176AB5">
        <w:t xml:space="preserve"> been checked </w:t>
      </w:r>
      <w:r w:rsidR="00176AB5">
        <w:rPr>
          <w:rFonts w:cs="Calibri"/>
          <w:szCs w:val="21"/>
        </w:rPr>
        <w:t>by the</w:t>
      </w:r>
      <w:r w:rsidR="008A00EB">
        <w:rPr>
          <w:rFonts w:cs="Calibri"/>
          <w:szCs w:val="21"/>
        </w:rPr>
        <w:t xml:space="preserve"> participating</w:t>
      </w:r>
      <w:r w:rsidR="00176AB5">
        <w:rPr>
          <w:rFonts w:cs="Calibri"/>
          <w:szCs w:val="21"/>
        </w:rPr>
        <w:t xml:space="preserve"> Market Surveillance Authorities (MSAs) to </w:t>
      </w:r>
      <w:r w:rsidR="001A7CD2">
        <w:rPr>
          <w:rFonts w:cs="Calibri"/>
          <w:szCs w:val="21"/>
        </w:rPr>
        <w:t>see</w:t>
      </w:r>
      <w:r w:rsidR="00176AB5">
        <w:rPr>
          <w:rFonts w:cs="Calibri"/>
          <w:szCs w:val="21"/>
        </w:rPr>
        <w:t xml:space="preserve"> whether </w:t>
      </w:r>
      <w:r w:rsidR="001A7CD2">
        <w:rPr>
          <w:rFonts w:cs="Calibri"/>
          <w:szCs w:val="21"/>
        </w:rPr>
        <w:t xml:space="preserve">they meet </w:t>
      </w:r>
      <w:r w:rsidR="00176AB5">
        <w:rPr>
          <w:rFonts w:cs="Calibri"/>
          <w:szCs w:val="21"/>
        </w:rPr>
        <w:t xml:space="preserve">the </w:t>
      </w:r>
      <w:r w:rsidR="00E275C6">
        <w:rPr>
          <w:rFonts w:cs="Calibri"/>
          <w:szCs w:val="21"/>
        </w:rPr>
        <w:t xml:space="preserve">EC </w:t>
      </w:r>
      <w:r w:rsidR="00176AB5">
        <w:rPr>
          <w:rFonts w:cs="Calibri"/>
          <w:szCs w:val="21"/>
        </w:rPr>
        <w:t xml:space="preserve">regulatory </w:t>
      </w:r>
      <w:r w:rsidR="007117FB">
        <w:rPr>
          <w:rFonts w:cs="Calibri"/>
          <w:szCs w:val="21"/>
        </w:rPr>
        <w:t>standards</w:t>
      </w:r>
      <w:r w:rsidR="00176AB5">
        <w:rPr>
          <w:rFonts w:cs="Calibri"/>
          <w:szCs w:val="21"/>
        </w:rPr>
        <w:t xml:space="preserve">. </w:t>
      </w:r>
      <w:r w:rsidR="00176AB5" w:rsidRPr="003A2F05">
        <w:rPr>
          <w:rFonts w:cs="Calibri"/>
          <w:szCs w:val="21"/>
        </w:rPr>
        <w:t xml:space="preserve">Based on </w:t>
      </w:r>
      <w:r w:rsidR="001A7CD2">
        <w:rPr>
          <w:rFonts w:cs="Calibri"/>
          <w:szCs w:val="21"/>
        </w:rPr>
        <w:t>a</w:t>
      </w:r>
      <w:r w:rsidR="00176AB5" w:rsidRPr="003A2F05">
        <w:rPr>
          <w:rFonts w:cs="Calibri"/>
          <w:szCs w:val="21"/>
        </w:rPr>
        <w:t xml:space="preserve"> EU market analysis, </w:t>
      </w:r>
      <w:r w:rsidR="00176AB5">
        <w:rPr>
          <w:rFonts w:cs="Calibri"/>
          <w:szCs w:val="21"/>
        </w:rPr>
        <w:t xml:space="preserve">label inspections have been performed </w:t>
      </w:r>
      <w:r w:rsidR="00795AC5">
        <w:rPr>
          <w:rFonts w:cs="Calibri"/>
          <w:szCs w:val="21"/>
        </w:rPr>
        <w:t xml:space="preserve">on tyres for </w:t>
      </w:r>
      <w:r w:rsidR="00773BBD">
        <w:rPr>
          <w:rFonts w:cs="Calibri"/>
          <w:szCs w:val="21"/>
        </w:rPr>
        <w:t xml:space="preserve">both </w:t>
      </w:r>
      <w:r w:rsidR="00795AC5">
        <w:rPr>
          <w:rFonts w:cs="Calibri"/>
          <w:szCs w:val="21"/>
        </w:rPr>
        <w:t>normal and extreme weather conditions.</w:t>
      </w:r>
      <w:r w:rsidR="00176AB5">
        <w:rPr>
          <w:rFonts w:cs="Calibri"/>
          <w:szCs w:val="21"/>
        </w:rPr>
        <w:t xml:space="preserve"> Altogether, 2.888 (23.5%) tyres </w:t>
      </w:r>
      <w:r w:rsidR="007D3C1C">
        <w:rPr>
          <w:rFonts w:cs="Calibri"/>
          <w:szCs w:val="21"/>
        </w:rPr>
        <w:t>have been</w:t>
      </w:r>
      <w:r w:rsidR="001F4C47">
        <w:rPr>
          <w:rFonts w:cs="Calibri"/>
          <w:szCs w:val="21"/>
        </w:rPr>
        <w:t xml:space="preserve"> examined i</w:t>
      </w:r>
      <w:r w:rsidR="001A7CD2">
        <w:rPr>
          <w:rFonts w:cs="Calibri"/>
          <w:szCs w:val="21"/>
        </w:rPr>
        <w:t>n web shops and 627 (21.7%) of them were non-compliant.</w:t>
      </w:r>
      <w:r w:rsidR="00176AB5">
        <w:rPr>
          <w:rFonts w:cs="Calibri"/>
          <w:szCs w:val="21"/>
        </w:rPr>
        <w:t xml:space="preserve"> </w:t>
      </w:r>
      <w:r w:rsidR="001A7CD2">
        <w:rPr>
          <w:rFonts w:cs="Calibri"/>
          <w:szCs w:val="21"/>
        </w:rPr>
        <w:t xml:space="preserve">The investigation was also carried out in tyre depots, where </w:t>
      </w:r>
      <w:r w:rsidR="005E4943" w:rsidRPr="003A2F05">
        <w:rPr>
          <w:rFonts w:cs="Calibri"/>
          <w:szCs w:val="21"/>
        </w:rPr>
        <w:t>568 (6.</w:t>
      </w:r>
      <w:r w:rsidR="005E4943">
        <w:rPr>
          <w:rFonts w:cs="Calibri"/>
          <w:szCs w:val="21"/>
        </w:rPr>
        <w:t>1</w:t>
      </w:r>
      <w:r w:rsidR="005E4943" w:rsidRPr="003A2F05">
        <w:rPr>
          <w:rFonts w:cs="Calibri"/>
          <w:szCs w:val="21"/>
        </w:rPr>
        <w:t>%) out of 9.</w:t>
      </w:r>
      <w:r w:rsidR="005E4943">
        <w:rPr>
          <w:rFonts w:cs="Calibri"/>
          <w:szCs w:val="21"/>
        </w:rPr>
        <w:t>353</w:t>
      </w:r>
      <w:r w:rsidR="00BC060D" w:rsidRPr="00BC060D">
        <w:rPr>
          <w:rFonts w:cs="Calibri"/>
          <w:szCs w:val="21"/>
        </w:rPr>
        <w:t xml:space="preserve"> </w:t>
      </w:r>
      <w:r w:rsidR="00BC060D" w:rsidRPr="003A2F05">
        <w:rPr>
          <w:rFonts w:cs="Calibri"/>
          <w:szCs w:val="21"/>
        </w:rPr>
        <w:t>tyres</w:t>
      </w:r>
      <w:r w:rsidR="005E4943">
        <w:rPr>
          <w:rFonts w:cs="Calibri"/>
          <w:szCs w:val="21"/>
        </w:rPr>
        <w:t xml:space="preserve"> </w:t>
      </w:r>
      <w:r w:rsidR="001A7CD2">
        <w:rPr>
          <w:rFonts w:cs="Calibri"/>
          <w:szCs w:val="21"/>
        </w:rPr>
        <w:t>inspected proved to be non-compliant. T</w:t>
      </w:r>
      <w:r w:rsidR="00176AB5">
        <w:rPr>
          <w:rFonts w:cs="Calibri"/>
          <w:szCs w:val="21"/>
        </w:rPr>
        <w:t xml:space="preserve">he main non-conformities </w:t>
      </w:r>
      <w:r w:rsidR="001A7CD2">
        <w:rPr>
          <w:rFonts w:cs="Calibri"/>
          <w:szCs w:val="21"/>
        </w:rPr>
        <w:t>consisted out of either the</w:t>
      </w:r>
      <w:r w:rsidR="00176AB5" w:rsidRPr="003A2F05">
        <w:rPr>
          <w:rFonts w:cs="Calibri"/>
          <w:szCs w:val="21"/>
        </w:rPr>
        <w:t xml:space="preserve"> label not showing at all or </w:t>
      </w:r>
      <w:r w:rsidR="001A7CD2">
        <w:rPr>
          <w:rFonts w:cs="Calibri"/>
          <w:szCs w:val="21"/>
        </w:rPr>
        <w:t>having the</w:t>
      </w:r>
      <w:r w:rsidR="00176AB5" w:rsidRPr="003A2F05">
        <w:rPr>
          <w:rFonts w:cs="Calibri"/>
          <w:szCs w:val="21"/>
        </w:rPr>
        <w:t xml:space="preserve"> wrong format.</w:t>
      </w:r>
    </w:p>
    <w:p w14:paraId="6C97E584" w14:textId="77777777" w:rsidR="00670276" w:rsidRDefault="00670276" w:rsidP="00176AB5">
      <w:pPr>
        <w:pStyle w:val="Tekstkomentarza"/>
        <w:jc w:val="both"/>
        <w:rPr>
          <w:rFonts w:cs="Calibri"/>
          <w:szCs w:val="21"/>
        </w:rPr>
      </w:pPr>
    </w:p>
    <w:p w14:paraId="1A4CE647" w14:textId="704FD3FA" w:rsidR="00176AB5" w:rsidRDefault="008D2202" w:rsidP="00176AB5">
      <w:pPr>
        <w:pStyle w:val="Tekstkomentarza"/>
        <w:jc w:val="both"/>
        <w:rPr>
          <w:rFonts w:cs="Calibri"/>
          <w:szCs w:val="21"/>
        </w:rPr>
      </w:pPr>
      <w:r>
        <w:rPr>
          <w:rFonts w:cs="Calibri"/>
          <w:szCs w:val="21"/>
        </w:rPr>
        <w:t xml:space="preserve">A sum of </w:t>
      </w:r>
      <w:r w:rsidR="00670276">
        <w:rPr>
          <w:rFonts w:cs="Calibri"/>
          <w:szCs w:val="21"/>
        </w:rPr>
        <w:t>131 passenger car tyres</w:t>
      </w:r>
      <w:r w:rsidR="00670276">
        <w:t xml:space="preserve"> were sampled and sent to be tested by an accredited laboratory against</w:t>
      </w:r>
      <w:r w:rsidR="00670276" w:rsidRPr="003A2F05">
        <w:rPr>
          <w:rFonts w:cs="Calibri"/>
          <w:szCs w:val="21"/>
        </w:rPr>
        <w:t xml:space="preserve"> the European Commission</w:t>
      </w:r>
      <w:r w:rsidR="00670276">
        <w:rPr>
          <w:rFonts w:cs="Calibri"/>
          <w:szCs w:val="21"/>
        </w:rPr>
        <w:t xml:space="preserve"> (EC)</w:t>
      </w:r>
      <w:r w:rsidR="00670276" w:rsidRPr="003A2F05">
        <w:rPr>
          <w:rFonts w:cs="Calibri"/>
          <w:szCs w:val="21"/>
        </w:rPr>
        <w:t xml:space="preserve"> Regulation 1222/2009</w:t>
      </w:r>
      <w:r w:rsidR="00351D9E" w:rsidRPr="00351D9E">
        <w:rPr>
          <w:rFonts w:cs="Calibri"/>
          <w:szCs w:val="21"/>
          <w:vertAlign w:val="superscript"/>
        </w:rPr>
        <w:t>(</w:t>
      </w:r>
      <w:r w:rsidR="00670276" w:rsidRPr="00351D9E">
        <w:rPr>
          <w:rStyle w:val="Odwoanieprzypisudolnego"/>
        </w:rPr>
        <w:footnoteReference w:id="1"/>
      </w:r>
      <w:r w:rsidR="00351D9E" w:rsidRPr="00351D9E">
        <w:rPr>
          <w:rFonts w:cs="Calibri"/>
          <w:szCs w:val="21"/>
          <w:vertAlign w:val="superscript"/>
        </w:rPr>
        <w:t>)</w:t>
      </w:r>
      <w:r w:rsidR="00670276">
        <w:t xml:space="preserve"> regarding Wet Grip (WG) and Rolling Resistance (RR). </w:t>
      </w:r>
      <w:r w:rsidR="009D195C">
        <w:rPr>
          <w:rFonts w:cs="Calibri"/>
          <w:szCs w:val="21"/>
        </w:rPr>
        <w:t xml:space="preserve">Following repeated tests, </w:t>
      </w:r>
      <w:r w:rsidR="00245F35">
        <w:rPr>
          <w:rFonts w:cs="Calibri"/>
          <w:szCs w:val="21"/>
        </w:rPr>
        <w:t>five (</w:t>
      </w:r>
      <w:r w:rsidR="00670276" w:rsidRPr="00176AB5">
        <w:rPr>
          <w:rFonts w:cs="Calibri"/>
          <w:szCs w:val="21"/>
        </w:rPr>
        <w:t>5</w:t>
      </w:r>
      <w:r w:rsidR="00245F35">
        <w:rPr>
          <w:rFonts w:cs="Calibri"/>
          <w:szCs w:val="21"/>
        </w:rPr>
        <w:t>)</w:t>
      </w:r>
      <w:r w:rsidR="00670276" w:rsidRPr="00176AB5">
        <w:rPr>
          <w:rFonts w:cs="Calibri"/>
          <w:szCs w:val="21"/>
        </w:rPr>
        <w:t xml:space="preserve"> models (3.8%) were found to be still </w:t>
      </w:r>
      <w:r w:rsidR="00670276">
        <w:rPr>
          <w:rFonts w:cs="Calibri"/>
          <w:szCs w:val="21"/>
        </w:rPr>
        <w:t>non-compliant concerning</w:t>
      </w:r>
      <w:r w:rsidR="00670276" w:rsidRPr="00176AB5">
        <w:rPr>
          <w:rFonts w:cs="Calibri"/>
          <w:szCs w:val="21"/>
        </w:rPr>
        <w:t xml:space="preserve"> WG, while </w:t>
      </w:r>
      <w:r w:rsidR="00245F35">
        <w:rPr>
          <w:rFonts w:cs="Calibri"/>
          <w:szCs w:val="21"/>
        </w:rPr>
        <w:t>nine (</w:t>
      </w:r>
      <w:r w:rsidR="00670276" w:rsidRPr="00176AB5">
        <w:rPr>
          <w:rFonts w:cs="Calibri"/>
          <w:szCs w:val="21"/>
        </w:rPr>
        <w:t>9</w:t>
      </w:r>
      <w:r w:rsidR="00245F35">
        <w:rPr>
          <w:rFonts w:cs="Calibri"/>
          <w:szCs w:val="21"/>
        </w:rPr>
        <w:t>)</w:t>
      </w:r>
      <w:r w:rsidR="00670276" w:rsidRPr="00176AB5">
        <w:rPr>
          <w:rFonts w:cs="Calibri"/>
          <w:szCs w:val="21"/>
        </w:rPr>
        <w:t xml:space="preserve"> models (6.9%) did not meet the require</w:t>
      </w:r>
      <w:r w:rsidR="009D195C">
        <w:rPr>
          <w:rFonts w:cs="Calibri"/>
          <w:szCs w:val="21"/>
        </w:rPr>
        <w:t>ments for RR. No tyres failed</w:t>
      </w:r>
      <w:r w:rsidR="00670276" w:rsidRPr="00176AB5">
        <w:rPr>
          <w:rFonts w:cs="Calibri"/>
          <w:szCs w:val="21"/>
        </w:rPr>
        <w:t xml:space="preserve"> both WG and RR.</w:t>
      </w:r>
    </w:p>
    <w:p w14:paraId="132AE5DF" w14:textId="77777777" w:rsidR="00670276" w:rsidRPr="00176AB5" w:rsidRDefault="00670276" w:rsidP="00176AB5">
      <w:pPr>
        <w:pStyle w:val="Tekstkomentarza"/>
        <w:jc w:val="both"/>
        <w:rPr>
          <w:rFonts w:cs="Calibri"/>
          <w:sz w:val="18"/>
          <w:szCs w:val="21"/>
        </w:rPr>
      </w:pPr>
    </w:p>
    <w:p w14:paraId="70B8C726" w14:textId="2A69C9C9" w:rsidR="00542FC5" w:rsidRPr="00206383" w:rsidRDefault="009D195C" w:rsidP="00542FC5">
      <w:pPr>
        <w:jc w:val="both"/>
        <w:rPr>
          <w:rFonts w:cs="Calibri"/>
          <w:sz w:val="20"/>
          <w:szCs w:val="20"/>
        </w:rPr>
      </w:pPr>
      <w:r w:rsidRPr="00206383">
        <w:rPr>
          <w:rFonts w:cs="Calibri"/>
          <w:sz w:val="20"/>
          <w:szCs w:val="20"/>
        </w:rPr>
        <w:t>F</w:t>
      </w:r>
      <w:r w:rsidR="00176AB5" w:rsidRPr="00206383">
        <w:rPr>
          <w:rFonts w:cs="Calibri"/>
          <w:sz w:val="20"/>
          <w:szCs w:val="20"/>
        </w:rPr>
        <w:t>urthermore</w:t>
      </w:r>
      <w:r w:rsidRPr="00206383">
        <w:rPr>
          <w:rFonts w:cs="Calibri"/>
          <w:sz w:val="20"/>
          <w:szCs w:val="20"/>
        </w:rPr>
        <w:t xml:space="preserve">, 38% (334) of the </w:t>
      </w:r>
      <w:r w:rsidR="00B4763F" w:rsidRPr="00206383">
        <w:rPr>
          <w:rFonts w:cs="Calibri"/>
          <w:sz w:val="20"/>
          <w:szCs w:val="20"/>
        </w:rPr>
        <w:t>876</w:t>
      </w:r>
      <w:r w:rsidR="00B4763F" w:rsidRPr="00206383">
        <w:rPr>
          <w:rFonts w:cs="Calibri"/>
          <w:color w:val="FF0000"/>
          <w:sz w:val="20"/>
          <w:szCs w:val="20"/>
        </w:rPr>
        <w:t xml:space="preserve"> </w:t>
      </w:r>
      <w:r w:rsidRPr="00206383">
        <w:rPr>
          <w:rFonts w:cs="Calibri"/>
          <w:sz w:val="20"/>
          <w:szCs w:val="20"/>
        </w:rPr>
        <w:t>sets of technical documentation c</w:t>
      </w:r>
      <w:r w:rsidR="00CB7633">
        <w:rPr>
          <w:rFonts w:cs="Calibri"/>
          <w:sz w:val="20"/>
          <w:szCs w:val="20"/>
        </w:rPr>
        <w:t>hecked were either incomplete or</w:t>
      </w:r>
      <w:r w:rsidRPr="00206383">
        <w:rPr>
          <w:rFonts w:cs="Calibri"/>
          <w:sz w:val="20"/>
          <w:szCs w:val="20"/>
        </w:rPr>
        <w:t xml:space="preserve"> failed to be delivered on time.</w:t>
      </w:r>
      <w:r w:rsidR="00176AB5" w:rsidRPr="00206383">
        <w:rPr>
          <w:rFonts w:cs="Calibri"/>
          <w:sz w:val="20"/>
          <w:szCs w:val="20"/>
        </w:rPr>
        <w:t xml:space="preserve"> </w:t>
      </w:r>
    </w:p>
    <w:p w14:paraId="1C62A621" w14:textId="77777777" w:rsidR="00542FC5" w:rsidRDefault="00542FC5" w:rsidP="00542FC5">
      <w:pPr>
        <w:jc w:val="both"/>
        <w:rPr>
          <w:rFonts w:cs="Calibri"/>
          <w:szCs w:val="21"/>
        </w:rPr>
      </w:pPr>
    </w:p>
    <w:p w14:paraId="15C8E95E" w14:textId="63B827AF" w:rsidR="00A43E32" w:rsidRDefault="00542FC5" w:rsidP="00A43E32">
      <w:pPr>
        <w:jc w:val="both"/>
        <w:rPr>
          <w:rFonts w:cs="Calibri"/>
          <w:sz w:val="20"/>
          <w:szCs w:val="20"/>
        </w:rPr>
      </w:pPr>
      <w:r w:rsidRPr="00176AB5">
        <w:rPr>
          <w:rFonts w:cs="Calibri"/>
          <w:sz w:val="20"/>
          <w:szCs w:val="20"/>
        </w:rPr>
        <w:t>As a result</w:t>
      </w:r>
      <w:r>
        <w:rPr>
          <w:rFonts w:cs="Calibri"/>
          <w:sz w:val="20"/>
          <w:szCs w:val="20"/>
        </w:rPr>
        <w:t xml:space="preserve"> of the activity</w:t>
      </w:r>
      <w:r w:rsidRPr="00176AB5">
        <w:rPr>
          <w:rFonts w:cs="Calibri"/>
          <w:sz w:val="20"/>
          <w:szCs w:val="20"/>
        </w:rPr>
        <w:t xml:space="preserve">, no tyres </w:t>
      </w:r>
      <w:r>
        <w:rPr>
          <w:rFonts w:cs="Calibri"/>
          <w:sz w:val="20"/>
          <w:szCs w:val="20"/>
        </w:rPr>
        <w:t>had to be withdrawn from the market. However, a number of</w:t>
      </w:r>
      <w:r w:rsidR="006279F9">
        <w:rPr>
          <w:rFonts w:cs="Calibri"/>
          <w:sz w:val="20"/>
          <w:szCs w:val="20"/>
        </w:rPr>
        <w:t xml:space="preserve"> agreed enforcement actions was</w:t>
      </w:r>
      <w:r>
        <w:rPr>
          <w:rFonts w:cs="Calibri"/>
          <w:sz w:val="20"/>
          <w:szCs w:val="20"/>
        </w:rPr>
        <w:t xml:space="preserve"> adopted, including a total of </w:t>
      </w:r>
      <w:r w:rsidRPr="00C56D66">
        <w:rPr>
          <w:noProof/>
          <w:sz w:val="20"/>
          <w:szCs w:val="20"/>
        </w:rPr>
        <w:t>1.</w:t>
      </w:r>
      <w:r>
        <w:rPr>
          <w:noProof/>
          <w:sz w:val="20"/>
          <w:szCs w:val="20"/>
        </w:rPr>
        <w:t>122</w:t>
      </w:r>
      <w:r w:rsidRPr="00C56D66">
        <w:rPr>
          <w:noProof/>
          <w:sz w:val="20"/>
          <w:szCs w:val="20"/>
        </w:rPr>
        <w:t xml:space="preserve"> </w:t>
      </w:r>
      <w:r w:rsidRPr="00176AB5">
        <w:rPr>
          <w:noProof/>
          <w:sz w:val="20"/>
          <w:szCs w:val="20"/>
        </w:rPr>
        <w:t xml:space="preserve">letters sent to Economic Operators </w:t>
      </w:r>
      <w:r>
        <w:rPr>
          <w:noProof/>
          <w:sz w:val="20"/>
          <w:szCs w:val="20"/>
        </w:rPr>
        <w:t>requiring them to take</w:t>
      </w:r>
      <w:r w:rsidRPr="00176AB5">
        <w:rPr>
          <w:noProof/>
          <w:sz w:val="20"/>
          <w:szCs w:val="20"/>
        </w:rPr>
        <w:t xml:space="preserve"> corrective actions. </w:t>
      </w:r>
      <w:r w:rsidR="008535B4">
        <w:rPr>
          <w:noProof/>
          <w:sz w:val="20"/>
          <w:szCs w:val="20"/>
        </w:rPr>
        <w:t>For other 240</w:t>
      </w:r>
      <w:r w:rsidRPr="00176AB5">
        <w:rPr>
          <w:noProof/>
          <w:sz w:val="20"/>
          <w:szCs w:val="20"/>
        </w:rPr>
        <w:t xml:space="preserve"> cases, </w:t>
      </w:r>
      <w:r>
        <w:rPr>
          <w:noProof/>
          <w:sz w:val="20"/>
          <w:szCs w:val="20"/>
        </w:rPr>
        <w:t>the</w:t>
      </w:r>
      <w:r w:rsidRPr="00176AB5">
        <w:rPr>
          <w:noProof/>
          <w:sz w:val="20"/>
          <w:szCs w:val="20"/>
        </w:rPr>
        <w:t xml:space="preserve"> </w:t>
      </w:r>
      <w:r w:rsidR="004F6ACE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conomic </w:t>
      </w:r>
      <w:r w:rsidR="004F6ACE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>perator</w:t>
      </w:r>
      <w:r w:rsidR="004F6AC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 took</w:t>
      </w:r>
      <w:r w:rsidRPr="00176AB5">
        <w:rPr>
          <w:rFonts w:cs="Calibri"/>
          <w:sz w:val="20"/>
          <w:szCs w:val="20"/>
        </w:rPr>
        <w:t xml:space="preserve"> voluntary </w:t>
      </w:r>
      <w:r>
        <w:rPr>
          <w:rFonts w:cs="Calibri"/>
          <w:sz w:val="20"/>
          <w:szCs w:val="20"/>
        </w:rPr>
        <w:t>measures to correct the non-compliances</w:t>
      </w:r>
      <w:r w:rsidRPr="00176AB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It </w:t>
      </w:r>
      <w:r w:rsidR="0064205F">
        <w:rPr>
          <w:rFonts w:cs="Calibri"/>
          <w:sz w:val="20"/>
          <w:szCs w:val="20"/>
        </w:rPr>
        <w:t>is important to take into account the fact</w:t>
      </w:r>
      <w:r>
        <w:rPr>
          <w:rFonts w:cs="Calibri"/>
          <w:sz w:val="20"/>
          <w:szCs w:val="20"/>
        </w:rPr>
        <w:t xml:space="preserve"> that </w:t>
      </w:r>
      <w:r w:rsidR="004F6ACE">
        <w:rPr>
          <w:rFonts w:cs="Calibri"/>
          <w:sz w:val="20"/>
          <w:szCs w:val="20"/>
        </w:rPr>
        <w:t>one letter concerned several models of tyres in</w:t>
      </w:r>
      <w:r>
        <w:rPr>
          <w:rFonts w:cs="Calibri"/>
          <w:sz w:val="20"/>
          <w:szCs w:val="20"/>
        </w:rPr>
        <w:t xml:space="preserve"> many cases. As example it may cited that one authority sent 39 letters concerning 236 tyres.</w:t>
      </w:r>
      <w:r w:rsidR="00A43E32" w:rsidRPr="00A43E32">
        <w:rPr>
          <w:rFonts w:cs="Calibri"/>
          <w:sz w:val="20"/>
          <w:szCs w:val="20"/>
        </w:rPr>
        <w:t xml:space="preserve"> </w:t>
      </w:r>
    </w:p>
    <w:p w14:paraId="6FC158B3" w14:textId="7DDDAC8D" w:rsidR="00176AB5" w:rsidRPr="00206383" w:rsidRDefault="00C47CE2" w:rsidP="0020638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Additionally</w:t>
      </w:r>
      <w:r w:rsidR="004C0577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it is worth mentioning that due to the nature of </w:t>
      </w:r>
      <w:r w:rsidR="00CB7633">
        <w:rPr>
          <w:rFonts w:cs="Calibri"/>
          <w:sz w:val="20"/>
          <w:szCs w:val="20"/>
        </w:rPr>
        <w:t>market surveillance process</w:t>
      </w:r>
      <w:r>
        <w:rPr>
          <w:rFonts w:cs="Calibri"/>
          <w:sz w:val="20"/>
          <w:szCs w:val="20"/>
        </w:rPr>
        <w:t xml:space="preserve"> and of this specific market, the e</w:t>
      </w:r>
      <w:r w:rsidR="00A43E32">
        <w:rPr>
          <w:rFonts w:cs="Calibri"/>
          <w:sz w:val="20"/>
          <w:szCs w:val="20"/>
        </w:rPr>
        <w:t xml:space="preserve">nforcement actions may take months </w:t>
      </w:r>
      <w:r>
        <w:rPr>
          <w:rFonts w:cs="Calibri"/>
          <w:sz w:val="20"/>
          <w:szCs w:val="20"/>
        </w:rPr>
        <w:t xml:space="preserve">to be performed </w:t>
      </w:r>
      <w:r w:rsidR="00A43E32">
        <w:rPr>
          <w:rFonts w:cs="Calibri"/>
          <w:sz w:val="20"/>
          <w:szCs w:val="20"/>
        </w:rPr>
        <w:t>and go beyo</w:t>
      </w:r>
      <w:r w:rsidR="00CB7633">
        <w:rPr>
          <w:rFonts w:cs="Calibri"/>
          <w:sz w:val="20"/>
          <w:szCs w:val="20"/>
        </w:rPr>
        <w:t>nd the time frame of this</w:t>
      </w:r>
      <w:r>
        <w:rPr>
          <w:rFonts w:cs="Calibri"/>
          <w:sz w:val="20"/>
          <w:szCs w:val="20"/>
        </w:rPr>
        <w:t xml:space="preserve"> Joint A</w:t>
      </w:r>
      <w:r w:rsidR="00A43E32">
        <w:rPr>
          <w:rFonts w:cs="Calibri"/>
          <w:sz w:val="20"/>
          <w:szCs w:val="20"/>
        </w:rPr>
        <w:t>ction</w:t>
      </w:r>
      <w:r>
        <w:rPr>
          <w:rFonts w:cs="Calibri"/>
          <w:sz w:val="20"/>
          <w:szCs w:val="20"/>
        </w:rPr>
        <w:t>.</w:t>
      </w:r>
      <w:r w:rsidR="00A43E32" w:rsidRPr="00176AB5">
        <w:rPr>
          <w:rFonts w:cs="Calibri"/>
          <w:sz w:val="20"/>
          <w:szCs w:val="20"/>
        </w:rPr>
        <w:t xml:space="preserve"> </w:t>
      </w:r>
    </w:p>
    <w:p w14:paraId="6774D02C" w14:textId="77777777" w:rsidR="0033257C" w:rsidRDefault="0033257C" w:rsidP="00176AB5">
      <w:pPr>
        <w:pStyle w:val="Tekstkomentarza"/>
        <w:jc w:val="both"/>
        <w:rPr>
          <w:rFonts w:cs="Calibri"/>
          <w:szCs w:val="21"/>
        </w:rPr>
      </w:pPr>
    </w:p>
    <w:p w14:paraId="00C1D9DB" w14:textId="1D523428" w:rsidR="00847141" w:rsidRPr="00206383" w:rsidRDefault="00E76126" w:rsidP="00206383">
      <w:pPr>
        <w:pStyle w:val="Tekstkomentarza"/>
        <w:jc w:val="both"/>
      </w:pPr>
      <w:r>
        <w:rPr>
          <w:rFonts w:cs="Calibri"/>
        </w:rPr>
        <w:t xml:space="preserve">Innovating in terms of market surveillance data collection, MSTyr15 built </w:t>
      </w:r>
      <w:r w:rsidR="008A53DC">
        <w:rPr>
          <w:rFonts w:cs="Calibri"/>
        </w:rPr>
        <w:t xml:space="preserve">a </w:t>
      </w:r>
      <w:r w:rsidR="007F5C63">
        <w:rPr>
          <w:rFonts w:cs="Calibri"/>
        </w:rPr>
        <w:t>new</w:t>
      </w:r>
      <w:r>
        <w:rPr>
          <w:rFonts w:cs="Calibri"/>
        </w:rPr>
        <w:t xml:space="preserve"> bespoke database software. The database helped </w:t>
      </w:r>
      <w:r w:rsidR="0078018C">
        <w:rPr>
          <w:rFonts w:cs="Calibri"/>
        </w:rPr>
        <w:t xml:space="preserve">in </w:t>
      </w:r>
      <w:r>
        <w:rPr>
          <w:rFonts w:cs="Calibri"/>
        </w:rPr>
        <w:t>harmonising</w:t>
      </w:r>
      <w:r w:rsidR="00A12882">
        <w:rPr>
          <w:rFonts w:cs="Calibri"/>
        </w:rPr>
        <w:t xml:space="preserve"> the enforcement measures </w:t>
      </w:r>
      <w:r w:rsidR="00044EF8">
        <w:rPr>
          <w:rFonts w:cs="Calibri"/>
        </w:rPr>
        <w:t xml:space="preserve">to be </w:t>
      </w:r>
      <w:r w:rsidR="00A12882">
        <w:rPr>
          <w:rFonts w:cs="Calibri"/>
        </w:rPr>
        <w:t>taken by the Member States</w:t>
      </w:r>
      <w:r w:rsidR="007B32EB">
        <w:rPr>
          <w:rFonts w:cs="Calibri"/>
        </w:rPr>
        <w:t>, and</w:t>
      </w:r>
      <w:r>
        <w:rPr>
          <w:rFonts w:cs="Calibri"/>
        </w:rPr>
        <w:t>,</w:t>
      </w:r>
      <w:r w:rsidR="007B32EB">
        <w:rPr>
          <w:rFonts w:cs="Calibri"/>
        </w:rPr>
        <w:t xml:space="preserve"> consequently</w:t>
      </w:r>
      <w:r>
        <w:rPr>
          <w:rFonts w:cs="Calibri"/>
        </w:rPr>
        <w:t>,</w:t>
      </w:r>
      <w:r w:rsidR="007B32EB">
        <w:rPr>
          <w:rFonts w:cs="Calibri"/>
        </w:rPr>
        <w:t xml:space="preserve"> </w:t>
      </w:r>
      <w:r w:rsidR="00786CC8">
        <w:rPr>
          <w:rFonts w:cs="Calibri"/>
        </w:rPr>
        <w:t>enhance</w:t>
      </w:r>
      <w:r>
        <w:rPr>
          <w:rFonts w:cs="Calibri"/>
        </w:rPr>
        <w:t>d</w:t>
      </w:r>
      <w:r w:rsidR="007B32EB">
        <w:rPr>
          <w:rFonts w:cs="Calibri"/>
        </w:rPr>
        <w:t xml:space="preserve"> market confidence and consumer trust</w:t>
      </w:r>
      <w:r>
        <w:rPr>
          <w:rFonts w:cs="Calibri"/>
        </w:rPr>
        <w:t>.</w:t>
      </w:r>
      <w:r w:rsidR="00A12882">
        <w:rPr>
          <w:rFonts w:cs="Calibri"/>
        </w:rPr>
        <w:t xml:space="preserve"> </w:t>
      </w:r>
      <w:r>
        <w:rPr>
          <w:rFonts w:cs="Calibri"/>
        </w:rPr>
        <w:t>I</w:t>
      </w:r>
      <w:r w:rsidR="00176AB5" w:rsidRPr="00176AB5">
        <w:rPr>
          <w:rFonts w:cs="Calibri"/>
        </w:rPr>
        <w:t xml:space="preserve">ts results </w:t>
      </w:r>
      <w:r w:rsidR="001F4C47">
        <w:rPr>
          <w:rFonts w:cs="Calibri"/>
        </w:rPr>
        <w:t>will be</w:t>
      </w:r>
      <w:r w:rsidR="00176AB5" w:rsidRPr="00176AB5">
        <w:rPr>
          <w:rFonts w:cs="Calibri"/>
        </w:rPr>
        <w:t xml:space="preserve"> directly fed into the ICSMS</w:t>
      </w:r>
      <w:r w:rsidR="00C616FE" w:rsidRPr="00C616FE">
        <w:rPr>
          <w:rFonts w:cs="Calibri"/>
          <w:vertAlign w:val="superscript"/>
        </w:rPr>
        <w:t>(</w:t>
      </w:r>
      <w:r w:rsidR="00A759CF" w:rsidRPr="00C616FE">
        <w:rPr>
          <w:rStyle w:val="Odwoanieprzypisudolnego"/>
          <w:rFonts w:cs="Calibri"/>
        </w:rPr>
        <w:footnoteReference w:id="2"/>
      </w:r>
      <w:r w:rsidR="00C616FE" w:rsidRPr="00C616FE">
        <w:rPr>
          <w:rFonts w:cs="Calibri"/>
          <w:vertAlign w:val="superscript"/>
        </w:rPr>
        <w:t>)</w:t>
      </w:r>
      <w:r w:rsidR="00176AB5" w:rsidRPr="00176AB5">
        <w:rPr>
          <w:rFonts w:cs="Calibri"/>
        </w:rPr>
        <w:t xml:space="preserve"> system and shared with all MSAs </w:t>
      </w:r>
      <w:r w:rsidR="00E312BD">
        <w:rPr>
          <w:rFonts w:cs="Calibri"/>
        </w:rPr>
        <w:t xml:space="preserve">across Europe </w:t>
      </w:r>
      <w:r w:rsidR="00F66D34">
        <w:rPr>
          <w:rFonts w:cs="Calibri"/>
        </w:rPr>
        <w:t xml:space="preserve">to </w:t>
      </w:r>
      <w:r w:rsidR="00E312BD">
        <w:rPr>
          <w:rFonts w:cs="Calibri"/>
        </w:rPr>
        <w:t>enabl</w:t>
      </w:r>
      <w:r w:rsidR="00F66D34">
        <w:rPr>
          <w:rFonts w:cs="Calibri"/>
        </w:rPr>
        <w:t>e</w:t>
      </w:r>
      <w:r w:rsidR="00E312BD">
        <w:rPr>
          <w:rFonts w:cs="Calibri"/>
        </w:rPr>
        <w:t xml:space="preserve"> </w:t>
      </w:r>
      <w:r>
        <w:rPr>
          <w:rFonts w:cs="Calibri"/>
        </w:rPr>
        <w:t>immediate</w:t>
      </w:r>
      <w:r w:rsidR="00176AB5" w:rsidRPr="00176AB5">
        <w:rPr>
          <w:rFonts w:cs="Calibri"/>
        </w:rPr>
        <w:t xml:space="preserve"> </w:t>
      </w:r>
      <w:r w:rsidR="009D527D">
        <w:rPr>
          <w:rFonts w:cs="Calibri"/>
        </w:rPr>
        <w:t xml:space="preserve">corrective </w:t>
      </w:r>
      <w:r w:rsidR="00176AB5" w:rsidRPr="00176AB5">
        <w:rPr>
          <w:rFonts w:cs="Calibri"/>
        </w:rPr>
        <w:t>action</w:t>
      </w:r>
      <w:r w:rsidR="00176AB5" w:rsidRPr="00176AB5">
        <w:rPr>
          <w:noProof/>
        </w:rPr>
        <w:t xml:space="preserve">, thus saving </w:t>
      </w:r>
      <w:r w:rsidR="003F49A2">
        <w:rPr>
          <w:noProof/>
        </w:rPr>
        <w:t xml:space="preserve">significant </w:t>
      </w:r>
      <w:r w:rsidR="00176AB5" w:rsidRPr="00176AB5">
        <w:rPr>
          <w:noProof/>
        </w:rPr>
        <w:t>inspection costs at the European level</w:t>
      </w:r>
      <w:r w:rsidR="00066B83">
        <w:rPr>
          <w:rFonts w:cs="Calibri"/>
        </w:rPr>
        <w:t xml:space="preserve">. The database </w:t>
      </w:r>
      <w:r w:rsidR="00176AB5" w:rsidRPr="00176AB5">
        <w:rPr>
          <w:rFonts w:cs="Calibri"/>
        </w:rPr>
        <w:t xml:space="preserve">together with the adopted </w:t>
      </w:r>
      <w:r w:rsidR="00A360D2">
        <w:rPr>
          <w:rFonts w:cs="Calibri"/>
        </w:rPr>
        <w:t xml:space="preserve">Best Practice Guidelines </w:t>
      </w:r>
      <w:r w:rsidR="00B3548E">
        <w:rPr>
          <w:rFonts w:cs="Calibri"/>
        </w:rPr>
        <w:t xml:space="preserve">overall </w:t>
      </w:r>
      <w:r w:rsidR="00A360D2">
        <w:rPr>
          <w:rFonts w:cs="Calibri"/>
        </w:rPr>
        <w:t>ensure</w:t>
      </w:r>
      <w:r w:rsidR="00176AB5" w:rsidRPr="00176AB5">
        <w:rPr>
          <w:rFonts w:cs="Calibri"/>
        </w:rPr>
        <w:t xml:space="preserve"> a cost-effective and consistent approach to real time </w:t>
      </w:r>
      <w:r w:rsidR="00F66D34">
        <w:rPr>
          <w:rFonts w:cs="Calibri"/>
        </w:rPr>
        <w:t>k</w:t>
      </w:r>
      <w:r w:rsidR="00176AB5" w:rsidRPr="00176AB5">
        <w:rPr>
          <w:rFonts w:cs="Calibri"/>
        </w:rPr>
        <w:t xml:space="preserve">nowledge </w:t>
      </w:r>
      <w:r w:rsidR="00F66D34">
        <w:rPr>
          <w:rFonts w:cs="Calibri"/>
        </w:rPr>
        <w:t>e</w:t>
      </w:r>
      <w:r w:rsidR="00176AB5" w:rsidRPr="00176AB5">
        <w:rPr>
          <w:rFonts w:cs="Calibri"/>
        </w:rPr>
        <w:t xml:space="preserve">xchange between MSAs across Europe. </w:t>
      </w:r>
    </w:p>
    <w:p w14:paraId="5A16CD6C" w14:textId="77777777" w:rsidR="00473101" w:rsidRPr="00473101" w:rsidRDefault="00473101" w:rsidP="00206383">
      <w:pPr>
        <w:jc w:val="both"/>
        <w:rPr>
          <w:rFonts w:cs="Calibri"/>
          <w:sz w:val="10"/>
          <w:szCs w:val="20"/>
        </w:rPr>
      </w:pPr>
    </w:p>
    <w:p w14:paraId="37D39152" w14:textId="77777777" w:rsidR="00F90542" w:rsidRPr="00F90542" w:rsidRDefault="00F90542" w:rsidP="00206383">
      <w:pPr>
        <w:jc w:val="both"/>
        <w:rPr>
          <w:rFonts w:cs="Calibri"/>
          <w:sz w:val="2"/>
          <w:szCs w:val="20"/>
        </w:rPr>
      </w:pPr>
    </w:p>
    <w:p w14:paraId="4A7ADA4B" w14:textId="77777777" w:rsidR="00F90542" w:rsidRDefault="00B77173" w:rsidP="00206383">
      <w:pPr>
        <w:jc w:val="both"/>
        <w:rPr>
          <w:noProof/>
          <w:sz w:val="20"/>
          <w:szCs w:val="21"/>
        </w:rPr>
      </w:pPr>
      <w:r>
        <w:rPr>
          <w:rFonts w:cs="Calibri"/>
          <w:sz w:val="20"/>
          <w:szCs w:val="21"/>
        </w:rPr>
        <w:t>Furthermore, t</w:t>
      </w:r>
      <w:r w:rsidR="00AB6B09">
        <w:rPr>
          <w:rFonts w:cs="Calibri"/>
          <w:sz w:val="20"/>
          <w:szCs w:val="21"/>
        </w:rPr>
        <w:t xml:space="preserve">o </w:t>
      </w:r>
      <w:r w:rsidR="00F17864">
        <w:rPr>
          <w:rFonts w:cs="Calibri"/>
          <w:sz w:val="20"/>
          <w:szCs w:val="21"/>
        </w:rPr>
        <w:t>develop skills</w:t>
      </w:r>
      <w:r w:rsidR="009362A6">
        <w:rPr>
          <w:rFonts w:cs="Calibri"/>
          <w:sz w:val="20"/>
          <w:szCs w:val="21"/>
        </w:rPr>
        <w:t xml:space="preserve"> relevant to the scope of the project</w:t>
      </w:r>
      <w:r w:rsidR="00176AB5" w:rsidRPr="00E275C6">
        <w:rPr>
          <w:rFonts w:cs="Calibri"/>
          <w:sz w:val="20"/>
          <w:szCs w:val="21"/>
        </w:rPr>
        <w:t xml:space="preserve">, MSTyr15 has created label inspection training videos in 15 languages and organised </w:t>
      </w:r>
      <w:r w:rsidR="0078018C">
        <w:rPr>
          <w:rFonts w:cs="Calibri"/>
          <w:sz w:val="20"/>
          <w:szCs w:val="21"/>
        </w:rPr>
        <w:t>two (2)</w:t>
      </w:r>
      <w:r w:rsidR="00176AB5" w:rsidRPr="00E275C6">
        <w:rPr>
          <w:rFonts w:cs="Calibri"/>
          <w:sz w:val="20"/>
          <w:szCs w:val="21"/>
        </w:rPr>
        <w:t xml:space="preserve"> training workshops </w:t>
      </w:r>
      <w:r w:rsidR="00176AB5" w:rsidRPr="00E275C6">
        <w:rPr>
          <w:noProof/>
          <w:sz w:val="20"/>
          <w:szCs w:val="21"/>
        </w:rPr>
        <w:t>to prepare the participants to use the newly developed app</w:t>
      </w:r>
      <w:r w:rsidR="00E275C6" w:rsidRPr="00E275C6">
        <w:rPr>
          <w:noProof/>
          <w:sz w:val="20"/>
          <w:szCs w:val="21"/>
        </w:rPr>
        <w:t>lication software</w:t>
      </w:r>
      <w:r w:rsidR="00176AB5" w:rsidRPr="00E275C6">
        <w:rPr>
          <w:noProof/>
          <w:sz w:val="20"/>
          <w:szCs w:val="21"/>
        </w:rPr>
        <w:t>.</w:t>
      </w:r>
    </w:p>
    <w:p w14:paraId="6615517A" w14:textId="77777777" w:rsidR="00E275C6" w:rsidRPr="00E275C6" w:rsidRDefault="00E275C6" w:rsidP="00E275C6">
      <w:pPr>
        <w:jc w:val="both"/>
        <w:rPr>
          <w:noProof/>
          <w:sz w:val="20"/>
          <w:szCs w:val="21"/>
        </w:rPr>
      </w:pPr>
      <w:r w:rsidRPr="00E275C6">
        <w:rPr>
          <w:rFonts w:cs="Calibri"/>
          <w:sz w:val="20"/>
          <w:szCs w:val="21"/>
        </w:rPr>
        <w:t>In terms of dissemination and exploitation, MSTyr15 has ensured that tyre suppliers are well informed about their responsibilit</w:t>
      </w:r>
      <w:r w:rsidR="00F66D34">
        <w:rPr>
          <w:rFonts w:cs="Calibri"/>
          <w:sz w:val="20"/>
          <w:szCs w:val="21"/>
        </w:rPr>
        <w:t xml:space="preserve">ies </w:t>
      </w:r>
      <w:r w:rsidR="008036BC">
        <w:rPr>
          <w:rFonts w:cs="Calibri"/>
          <w:sz w:val="20"/>
          <w:szCs w:val="21"/>
        </w:rPr>
        <w:t>regarding</w:t>
      </w:r>
      <w:r w:rsidRPr="00E275C6">
        <w:rPr>
          <w:rFonts w:cs="Calibri"/>
          <w:sz w:val="20"/>
          <w:szCs w:val="21"/>
        </w:rPr>
        <w:t xml:space="preserve"> the visibility of tyre label.</w:t>
      </w:r>
      <w:r w:rsidRPr="00E275C6">
        <w:rPr>
          <w:noProof/>
          <w:sz w:val="20"/>
          <w:szCs w:val="21"/>
        </w:rPr>
        <w:t xml:space="preserve"> The </w:t>
      </w:r>
      <w:r w:rsidR="008036BC">
        <w:rPr>
          <w:noProof/>
          <w:sz w:val="20"/>
          <w:szCs w:val="21"/>
        </w:rPr>
        <w:t>publication</w:t>
      </w:r>
      <w:r w:rsidRPr="00E275C6">
        <w:rPr>
          <w:noProof/>
          <w:sz w:val="20"/>
          <w:szCs w:val="21"/>
        </w:rPr>
        <w:t xml:space="preserve"> of the project results is expected</w:t>
      </w:r>
      <w:r w:rsidR="002142FD">
        <w:rPr>
          <w:noProof/>
          <w:sz w:val="20"/>
          <w:szCs w:val="21"/>
        </w:rPr>
        <w:t xml:space="preserve"> </w:t>
      </w:r>
      <w:r w:rsidRPr="00E275C6">
        <w:rPr>
          <w:noProof/>
          <w:sz w:val="20"/>
          <w:szCs w:val="21"/>
        </w:rPr>
        <w:t xml:space="preserve">to also </w:t>
      </w:r>
      <w:r w:rsidR="00A32FE3">
        <w:rPr>
          <w:noProof/>
          <w:sz w:val="20"/>
          <w:szCs w:val="21"/>
        </w:rPr>
        <w:t>increase</w:t>
      </w:r>
      <w:r w:rsidR="008036BC">
        <w:rPr>
          <w:noProof/>
          <w:sz w:val="20"/>
          <w:szCs w:val="21"/>
        </w:rPr>
        <w:t xml:space="preserve"> awareness among consumers</w:t>
      </w:r>
      <w:r w:rsidRPr="00E275C6">
        <w:rPr>
          <w:noProof/>
          <w:sz w:val="20"/>
          <w:szCs w:val="21"/>
        </w:rPr>
        <w:t xml:space="preserve"> </w:t>
      </w:r>
      <w:r w:rsidR="00F66D34">
        <w:rPr>
          <w:noProof/>
          <w:sz w:val="20"/>
          <w:szCs w:val="21"/>
        </w:rPr>
        <w:t xml:space="preserve">to choose </w:t>
      </w:r>
      <w:r w:rsidRPr="00E275C6">
        <w:rPr>
          <w:noProof/>
          <w:sz w:val="20"/>
          <w:szCs w:val="21"/>
        </w:rPr>
        <w:t xml:space="preserve">more efficient </w:t>
      </w:r>
      <w:r w:rsidR="00F66D34">
        <w:rPr>
          <w:noProof/>
          <w:sz w:val="20"/>
          <w:szCs w:val="21"/>
        </w:rPr>
        <w:t xml:space="preserve">and safer </w:t>
      </w:r>
      <w:r w:rsidRPr="00E275C6">
        <w:rPr>
          <w:noProof/>
          <w:sz w:val="20"/>
          <w:szCs w:val="21"/>
        </w:rPr>
        <w:t>tyres.</w:t>
      </w:r>
    </w:p>
    <w:p w14:paraId="5AE3942E" w14:textId="77777777" w:rsidR="00E275C6" w:rsidRPr="00E275C6" w:rsidRDefault="00E275C6" w:rsidP="00176AB5">
      <w:pPr>
        <w:jc w:val="both"/>
        <w:rPr>
          <w:rFonts w:cs="Calibri"/>
          <w:sz w:val="18"/>
          <w:szCs w:val="20"/>
        </w:rPr>
      </w:pPr>
    </w:p>
    <w:p w14:paraId="67B880E6" w14:textId="0114017E" w:rsidR="00E275C6" w:rsidRDefault="00E275C6" w:rsidP="00E275C6">
      <w:pPr>
        <w:pStyle w:val="Tekstkomentarza"/>
        <w:jc w:val="both"/>
      </w:pPr>
      <w:r w:rsidRPr="009C1913">
        <w:rPr>
          <w:noProof/>
        </w:rPr>
        <w:t>To further communicate results,</w:t>
      </w:r>
      <w:r w:rsidRPr="009C1913">
        <w:t xml:space="preserve"> </w:t>
      </w:r>
      <w:r w:rsidR="008036BC">
        <w:t>MSTyr15 was</w:t>
      </w:r>
      <w:r w:rsidR="006D67ED">
        <w:t xml:space="preserve"> presented at two large international conferences (</w:t>
      </w:r>
      <w:hyperlink r:id="rId11" w:history="1">
        <w:r w:rsidR="006D67ED" w:rsidRPr="006D67ED">
          <w:rPr>
            <w:rStyle w:val="Hipercze"/>
          </w:rPr>
          <w:t>WSED2018</w:t>
        </w:r>
      </w:hyperlink>
      <w:r w:rsidR="006D67ED">
        <w:t xml:space="preserve"> and </w:t>
      </w:r>
      <w:hyperlink r:id="rId12" w:history="1">
        <w:r w:rsidR="006D67ED" w:rsidRPr="006D67ED">
          <w:rPr>
            <w:rStyle w:val="Hipercze"/>
          </w:rPr>
          <w:t>EUSEW18</w:t>
        </w:r>
      </w:hyperlink>
      <w:r w:rsidR="006D67ED">
        <w:t>)</w:t>
      </w:r>
      <w:r w:rsidR="008036BC">
        <w:t>.</w:t>
      </w:r>
      <w:r w:rsidR="006D67ED">
        <w:t xml:space="preserve"> </w:t>
      </w:r>
      <w:r w:rsidR="008036BC">
        <w:t xml:space="preserve">This </w:t>
      </w:r>
      <w:r w:rsidRPr="009C1913">
        <w:t>demonstrat</w:t>
      </w:r>
      <w:r w:rsidR="008036BC">
        <w:t>es</w:t>
      </w:r>
      <w:r w:rsidRPr="009C1913">
        <w:t xml:space="preserve"> once more </w:t>
      </w:r>
      <w:r w:rsidR="0023075F">
        <w:t>the consortium</w:t>
      </w:r>
      <w:r w:rsidRPr="009C1913">
        <w:t>'s strong</w:t>
      </w:r>
      <w:r w:rsidR="00C37F4A">
        <w:t xml:space="preserve"> and consistent</w:t>
      </w:r>
      <w:r w:rsidRPr="009C1913">
        <w:t xml:space="preserve"> commitment t</w:t>
      </w:r>
      <w:r w:rsidR="001F4C47">
        <w:t>o achieve best value-for-money</w:t>
      </w:r>
      <w:r w:rsidRPr="009C1913">
        <w:t xml:space="preserve">, by </w:t>
      </w:r>
      <w:r w:rsidR="000A2C68">
        <w:t>ensuring</w:t>
      </w:r>
      <w:r w:rsidRPr="009C1913">
        <w:t xml:space="preserve"> that the EU funds made available for </w:t>
      </w:r>
      <w:r w:rsidR="00F70410">
        <w:t xml:space="preserve">the </w:t>
      </w:r>
      <w:r w:rsidRPr="009C1913">
        <w:t xml:space="preserve">implementation of market surveillance projects pay off </w:t>
      </w:r>
      <w:r w:rsidR="001F4C47">
        <w:t xml:space="preserve">in terms of their </w:t>
      </w:r>
      <w:r w:rsidRPr="009C1913">
        <w:t>impact</w:t>
      </w:r>
      <w:r w:rsidR="00F70410">
        <w:t xml:space="preserve"> </w:t>
      </w:r>
      <w:r w:rsidR="00266F16">
        <w:t xml:space="preserve">on </w:t>
      </w:r>
      <w:r w:rsidR="0030517B">
        <w:t xml:space="preserve">both </w:t>
      </w:r>
      <w:r w:rsidR="00266F16">
        <w:t>the market and consumers</w:t>
      </w:r>
      <w:r w:rsidRPr="009C1913">
        <w:t>.</w:t>
      </w:r>
    </w:p>
    <w:p w14:paraId="2C35EFBE" w14:textId="77777777" w:rsidR="00E356CB" w:rsidRDefault="00E356CB" w:rsidP="00E275C6">
      <w:pPr>
        <w:pStyle w:val="Tekstkomentarza"/>
        <w:jc w:val="both"/>
      </w:pPr>
    </w:p>
    <w:p w14:paraId="2C3B0CFD" w14:textId="46D4AC55" w:rsidR="00E356CB" w:rsidRDefault="00012875" w:rsidP="00E356CB">
      <w:pPr>
        <w:pStyle w:val="Tekstkomentarza"/>
        <w:jc w:val="both"/>
        <w:rPr>
          <w:noProof/>
          <w:szCs w:val="21"/>
        </w:rPr>
      </w:pPr>
      <w:r>
        <w:rPr>
          <w:rFonts w:cs="Calibri"/>
          <w:szCs w:val="21"/>
        </w:rPr>
        <w:t>Beyond its core scope, it</w:t>
      </w:r>
      <w:r w:rsidR="00E356CB" w:rsidRPr="00E356CB">
        <w:rPr>
          <w:rFonts w:cs="Calibri"/>
          <w:szCs w:val="21"/>
        </w:rPr>
        <w:t xml:space="preserve"> is worth noting that MSTyr15 has established valuable relations with other non-participating MSAs across the European Economic Area</w:t>
      </w:r>
      <w:r w:rsidR="00E356CB" w:rsidRPr="00E356CB">
        <w:rPr>
          <w:noProof/>
          <w:szCs w:val="21"/>
        </w:rPr>
        <w:t xml:space="preserve">, while liaising with a number of </w:t>
      </w:r>
      <w:r w:rsidR="00E356CB" w:rsidRPr="00E356CB">
        <w:rPr>
          <w:rFonts w:cs="Calibri"/>
          <w:szCs w:val="21"/>
        </w:rPr>
        <w:t xml:space="preserve">European associations, consumer organisations and environmental NGOs, </w:t>
      </w:r>
      <w:r w:rsidR="00E356CB" w:rsidRPr="00E356CB">
        <w:rPr>
          <w:noProof/>
          <w:szCs w:val="21"/>
        </w:rPr>
        <w:t>therefore setting the ground for new synergies in the future.</w:t>
      </w:r>
    </w:p>
    <w:p w14:paraId="573A54CB" w14:textId="67E4175D" w:rsidR="0033257C" w:rsidRPr="00206383" w:rsidRDefault="00206383" w:rsidP="00206383">
      <w:pPr>
        <w:pStyle w:val="Tekstkomentarza"/>
        <w:jc w:val="both"/>
        <w:rPr>
          <w:noProof/>
          <w:sz w:val="24"/>
          <w:szCs w:val="24"/>
        </w:rPr>
      </w:pPr>
      <w:r>
        <w:rPr>
          <w:rFonts w:cs="Calibri"/>
          <w:noProof/>
          <w:szCs w:val="21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315993FA" wp14:editId="174BEC43">
            <wp:simplePos x="0" y="0"/>
            <wp:positionH relativeFrom="margin">
              <wp:posOffset>654619</wp:posOffset>
            </wp:positionH>
            <wp:positionV relativeFrom="margin">
              <wp:posOffset>2787650</wp:posOffset>
            </wp:positionV>
            <wp:extent cx="4815971" cy="221043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 - Cop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71" cy="221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9012C" w14:textId="77777777" w:rsidR="00206383" w:rsidRDefault="00206383" w:rsidP="00E356CB">
      <w:pPr>
        <w:rPr>
          <w:color w:val="0A3296"/>
          <w:sz w:val="20"/>
          <w:szCs w:val="20"/>
        </w:rPr>
      </w:pPr>
    </w:p>
    <w:p w14:paraId="005EDB7E" w14:textId="77777777" w:rsidR="00206383" w:rsidRDefault="00206383" w:rsidP="00E356CB">
      <w:pPr>
        <w:rPr>
          <w:color w:val="0A3296"/>
          <w:sz w:val="20"/>
          <w:szCs w:val="20"/>
        </w:rPr>
      </w:pPr>
    </w:p>
    <w:p w14:paraId="52171078" w14:textId="77777777" w:rsidR="00206383" w:rsidRDefault="00206383" w:rsidP="00E356CB">
      <w:pPr>
        <w:rPr>
          <w:color w:val="0A3296"/>
          <w:sz w:val="20"/>
          <w:szCs w:val="20"/>
        </w:rPr>
      </w:pPr>
    </w:p>
    <w:p w14:paraId="59DF9F10" w14:textId="77777777" w:rsidR="00206383" w:rsidRDefault="00206383" w:rsidP="00E356CB">
      <w:pPr>
        <w:rPr>
          <w:color w:val="0A3296"/>
          <w:sz w:val="20"/>
          <w:szCs w:val="20"/>
        </w:rPr>
      </w:pPr>
    </w:p>
    <w:p w14:paraId="72E61E5F" w14:textId="77777777" w:rsidR="00206383" w:rsidRDefault="00206383" w:rsidP="00E356CB">
      <w:pPr>
        <w:rPr>
          <w:color w:val="0A3296"/>
          <w:sz w:val="20"/>
          <w:szCs w:val="20"/>
        </w:rPr>
      </w:pPr>
    </w:p>
    <w:p w14:paraId="0128227E" w14:textId="77777777" w:rsidR="00206383" w:rsidRDefault="00206383" w:rsidP="00E356CB">
      <w:pPr>
        <w:rPr>
          <w:color w:val="0A3296"/>
          <w:sz w:val="20"/>
          <w:szCs w:val="20"/>
        </w:rPr>
      </w:pPr>
    </w:p>
    <w:p w14:paraId="3DE8010F" w14:textId="77777777" w:rsidR="00206383" w:rsidRDefault="00206383" w:rsidP="00E356CB">
      <w:pPr>
        <w:rPr>
          <w:color w:val="0A3296"/>
          <w:sz w:val="20"/>
          <w:szCs w:val="20"/>
        </w:rPr>
      </w:pPr>
    </w:p>
    <w:p w14:paraId="087D7219" w14:textId="77777777" w:rsidR="00206383" w:rsidRDefault="00206383" w:rsidP="00E356CB">
      <w:pPr>
        <w:rPr>
          <w:color w:val="0A3296"/>
          <w:sz w:val="20"/>
          <w:szCs w:val="20"/>
        </w:rPr>
      </w:pPr>
    </w:p>
    <w:p w14:paraId="4F8ECDCC" w14:textId="77777777" w:rsidR="00206383" w:rsidRDefault="00206383" w:rsidP="00E356CB">
      <w:pPr>
        <w:rPr>
          <w:color w:val="0A3296"/>
          <w:sz w:val="20"/>
          <w:szCs w:val="20"/>
        </w:rPr>
      </w:pPr>
    </w:p>
    <w:p w14:paraId="3479E519" w14:textId="77777777" w:rsidR="00206383" w:rsidRDefault="00206383" w:rsidP="00E356CB">
      <w:pPr>
        <w:rPr>
          <w:color w:val="0A3296"/>
          <w:sz w:val="20"/>
          <w:szCs w:val="20"/>
        </w:rPr>
      </w:pPr>
    </w:p>
    <w:p w14:paraId="4356CFB1" w14:textId="77777777" w:rsidR="00206383" w:rsidRDefault="00206383" w:rsidP="00E356CB">
      <w:pPr>
        <w:rPr>
          <w:color w:val="0A3296"/>
          <w:sz w:val="20"/>
          <w:szCs w:val="20"/>
        </w:rPr>
      </w:pPr>
    </w:p>
    <w:p w14:paraId="746A8A72" w14:textId="77777777" w:rsidR="00206383" w:rsidRDefault="00206383" w:rsidP="00E356CB">
      <w:pPr>
        <w:rPr>
          <w:color w:val="0A3296"/>
          <w:sz w:val="20"/>
          <w:szCs w:val="20"/>
        </w:rPr>
      </w:pPr>
    </w:p>
    <w:p w14:paraId="364E2CC1" w14:textId="77777777" w:rsidR="00206383" w:rsidRDefault="00206383" w:rsidP="00E356CB">
      <w:pPr>
        <w:rPr>
          <w:color w:val="0A3296"/>
          <w:sz w:val="20"/>
          <w:szCs w:val="20"/>
        </w:rPr>
      </w:pPr>
    </w:p>
    <w:p w14:paraId="5753A386" w14:textId="77777777" w:rsidR="00206383" w:rsidRDefault="00206383" w:rsidP="00E356CB">
      <w:pPr>
        <w:rPr>
          <w:color w:val="0A3296"/>
          <w:sz w:val="20"/>
          <w:szCs w:val="20"/>
        </w:rPr>
      </w:pPr>
    </w:p>
    <w:p w14:paraId="7BBFF889" w14:textId="77777777" w:rsidR="00206383" w:rsidRDefault="00206383" w:rsidP="00E356CB">
      <w:pPr>
        <w:rPr>
          <w:color w:val="0A3296"/>
          <w:sz w:val="20"/>
          <w:szCs w:val="20"/>
        </w:rPr>
      </w:pPr>
    </w:p>
    <w:p w14:paraId="7F3A66EB" w14:textId="77777777" w:rsidR="00E356CB" w:rsidRDefault="00E356CB" w:rsidP="00E356CB">
      <w:pPr>
        <w:rPr>
          <w:color w:val="0A3296"/>
          <w:sz w:val="20"/>
          <w:szCs w:val="20"/>
        </w:rPr>
      </w:pPr>
      <w:r w:rsidRPr="00AE5138">
        <w:rPr>
          <w:color w:val="0A3296"/>
          <w:sz w:val="20"/>
          <w:szCs w:val="20"/>
        </w:rPr>
        <w:t>Contact Person:</w:t>
      </w:r>
      <w:r w:rsidR="0033257C" w:rsidRPr="0033257C">
        <w:rPr>
          <w:rFonts w:cs="Calibri"/>
          <w:noProof/>
          <w:szCs w:val="21"/>
          <w:lang w:val="en-US"/>
        </w:rPr>
        <w:t xml:space="preserve"> </w:t>
      </w:r>
    </w:p>
    <w:p w14:paraId="7E8B451F" w14:textId="77777777" w:rsidR="006D0F9C" w:rsidRPr="00E01EF6" w:rsidRDefault="006D0F9C" w:rsidP="00E356CB">
      <w:pPr>
        <w:rPr>
          <w:color w:val="0A3296"/>
          <w:sz w:val="6"/>
          <w:szCs w:val="20"/>
        </w:rPr>
      </w:pPr>
    </w:p>
    <w:p w14:paraId="3FE7AAED" w14:textId="77777777" w:rsidR="00E356CB" w:rsidRPr="00AE5138" w:rsidRDefault="001F4C47" w:rsidP="00E356CB">
      <w:pPr>
        <w:rPr>
          <w:color w:val="202480"/>
          <w:sz w:val="20"/>
          <w:szCs w:val="20"/>
        </w:rPr>
      </w:pPr>
      <w:r>
        <w:rPr>
          <w:color w:val="0A3296"/>
          <w:sz w:val="20"/>
          <w:szCs w:val="20"/>
        </w:rPr>
        <w:t>Ioana Zlotila</w:t>
      </w:r>
      <w:r w:rsidR="00E356CB" w:rsidRPr="00AE5138">
        <w:rPr>
          <w:color w:val="0A3296"/>
          <w:sz w:val="20"/>
          <w:szCs w:val="20"/>
        </w:rPr>
        <w:t xml:space="preserve">, Executive Director, </w:t>
      </w:r>
      <w:hyperlink r:id="rId14" w:history="1">
        <w:r w:rsidRPr="00FE4A05">
          <w:rPr>
            <w:rStyle w:val="Hipercze"/>
            <w:sz w:val="20"/>
            <w:szCs w:val="20"/>
          </w:rPr>
          <w:t>ioana@prosafe.org</w:t>
        </w:r>
      </w:hyperlink>
      <w:r w:rsidR="00E356CB" w:rsidRPr="00AE5138">
        <w:rPr>
          <w:color w:val="0A3296"/>
          <w:sz w:val="20"/>
          <w:szCs w:val="20"/>
        </w:rPr>
        <w:t xml:space="preserve"> and </w:t>
      </w:r>
      <w:hyperlink r:id="rId15" w:history="1">
        <w:r w:rsidR="00E356CB" w:rsidRPr="00AE5138">
          <w:rPr>
            <w:rStyle w:val="Hipercze"/>
            <w:sz w:val="20"/>
            <w:szCs w:val="20"/>
          </w:rPr>
          <w:t>info@prosafe.org</w:t>
        </w:r>
      </w:hyperlink>
      <w:r w:rsidR="00E356CB" w:rsidRPr="00AE5138">
        <w:rPr>
          <w:color w:val="0A3296"/>
          <w:sz w:val="20"/>
          <w:szCs w:val="20"/>
        </w:rPr>
        <w:t xml:space="preserve">  </w:t>
      </w:r>
    </w:p>
    <w:p w14:paraId="359518E5" w14:textId="77777777" w:rsidR="00E356CB" w:rsidRPr="00171160" w:rsidRDefault="00E356CB" w:rsidP="00004345">
      <w:pPr>
        <w:pStyle w:val="Tekstkomentarza"/>
        <w:jc w:val="both"/>
        <w:rPr>
          <w:rFonts w:cs="Calibri"/>
          <w:sz w:val="24"/>
          <w:szCs w:val="21"/>
        </w:rPr>
      </w:pPr>
    </w:p>
    <w:p w14:paraId="33E8D804" w14:textId="77777777" w:rsidR="001218CB" w:rsidRPr="003A6670" w:rsidRDefault="00E356CB" w:rsidP="00004345">
      <w:pPr>
        <w:pStyle w:val="Tekstkomentarza"/>
        <w:jc w:val="both"/>
        <w:rPr>
          <w:rFonts w:cs="Calibri"/>
          <w:b/>
          <w:sz w:val="18"/>
          <w:szCs w:val="21"/>
        </w:rPr>
      </w:pPr>
      <w:r w:rsidRPr="003A6670">
        <w:rPr>
          <w:rFonts w:cs="Calibri"/>
          <w:b/>
          <w:sz w:val="18"/>
          <w:szCs w:val="21"/>
        </w:rPr>
        <w:t>Background information</w:t>
      </w:r>
    </w:p>
    <w:p w14:paraId="06B3EE98" w14:textId="77777777" w:rsidR="0000743C" w:rsidRPr="00171160" w:rsidRDefault="0000743C" w:rsidP="00004345">
      <w:pPr>
        <w:pStyle w:val="Tekstkomentarza"/>
        <w:jc w:val="both"/>
        <w:rPr>
          <w:rFonts w:cs="Calibri"/>
          <w:sz w:val="10"/>
          <w:szCs w:val="21"/>
        </w:rPr>
      </w:pPr>
    </w:p>
    <w:p w14:paraId="3FD4E83A" w14:textId="77777777" w:rsidR="00E356CB" w:rsidRPr="00004345" w:rsidRDefault="00E356CB" w:rsidP="0033257C">
      <w:pPr>
        <w:keepNext/>
        <w:autoSpaceDE w:val="0"/>
        <w:autoSpaceDN w:val="0"/>
        <w:adjustRightInd w:val="0"/>
        <w:jc w:val="both"/>
        <w:rPr>
          <w:sz w:val="18"/>
          <w:szCs w:val="18"/>
        </w:rPr>
      </w:pPr>
      <w:r w:rsidRPr="00004345">
        <w:rPr>
          <w:sz w:val="18"/>
          <w:szCs w:val="18"/>
        </w:rPr>
        <w:t xml:space="preserve">This information is issued by PROSAFE and the surveillance authorities representing 14 EU countries and Turkey in the </w:t>
      </w:r>
      <w:hyperlink r:id="rId16" w:history="1">
        <w:r w:rsidRPr="00004345">
          <w:rPr>
            <w:rStyle w:val="Hipercze"/>
            <w:sz w:val="18"/>
            <w:szCs w:val="18"/>
          </w:rPr>
          <w:t>MStyr15</w:t>
        </w:r>
      </w:hyperlink>
      <w:r w:rsidRPr="00004345">
        <w:rPr>
          <w:sz w:val="18"/>
          <w:szCs w:val="18"/>
        </w:rPr>
        <w:t xml:space="preserve"> </w:t>
      </w:r>
      <w:r w:rsidR="003E7054" w:rsidRPr="00004345">
        <w:rPr>
          <w:sz w:val="18"/>
          <w:szCs w:val="18"/>
        </w:rPr>
        <w:t xml:space="preserve">Joint </w:t>
      </w:r>
      <w:r w:rsidRPr="00004345">
        <w:rPr>
          <w:sz w:val="18"/>
          <w:szCs w:val="18"/>
        </w:rPr>
        <w:t>Action.</w:t>
      </w:r>
    </w:p>
    <w:p w14:paraId="65DDDCF3" w14:textId="5C85C4AB" w:rsidR="00F90542" w:rsidRPr="00004345" w:rsidRDefault="00E356CB" w:rsidP="00004345">
      <w:pPr>
        <w:jc w:val="both"/>
        <w:rPr>
          <w:sz w:val="18"/>
          <w:szCs w:val="18"/>
        </w:rPr>
      </w:pPr>
      <w:r w:rsidRPr="00004345">
        <w:rPr>
          <w:sz w:val="18"/>
          <w:szCs w:val="18"/>
        </w:rPr>
        <w:t xml:space="preserve">The Action is coordinated by PROSAFE (Product Safety Forum of Europe), a non-profit organisation that brings together market surveillance officers from all over Europe and across the world. Visit </w:t>
      </w:r>
      <w:hyperlink r:id="rId17" w:history="1">
        <w:r w:rsidRPr="00004345">
          <w:rPr>
            <w:rStyle w:val="Hipercze"/>
            <w:sz w:val="18"/>
            <w:szCs w:val="18"/>
          </w:rPr>
          <w:t>www.prosafe.org</w:t>
        </w:r>
      </w:hyperlink>
      <w:r w:rsidR="00A353B3" w:rsidRPr="00004345">
        <w:rPr>
          <w:sz w:val="18"/>
          <w:szCs w:val="18"/>
        </w:rPr>
        <w:t xml:space="preserve"> to learn more</w:t>
      </w:r>
      <w:r w:rsidRPr="00004345">
        <w:rPr>
          <w:sz w:val="18"/>
          <w:szCs w:val="18"/>
        </w:rPr>
        <w:t xml:space="preserve"> about MStyr15 and the other Joint A</w:t>
      </w:r>
      <w:r w:rsidR="00196AF8" w:rsidRPr="00004345">
        <w:rPr>
          <w:sz w:val="18"/>
          <w:szCs w:val="18"/>
        </w:rPr>
        <w:t>ctions coordinated by PROSAFE.</w:t>
      </w:r>
      <w:r w:rsidR="00A353B3" w:rsidRPr="00004345">
        <w:rPr>
          <w:sz w:val="18"/>
          <w:szCs w:val="18"/>
        </w:rPr>
        <w:t xml:space="preserve"> Follow PROSAFE and MSTyr15 on Twitter </w:t>
      </w:r>
      <w:r w:rsidR="003A6670">
        <w:rPr>
          <w:sz w:val="18"/>
          <w:szCs w:val="18"/>
        </w:rPr>
        <w:t xml:space="preserve">at </w:t>
      </w:r>
      <w:hyperlink r:id="rId18" w:history="1">
        <w:r w:rsidR="00A353B3" w:rsidRPr="00004345">
          <w:rPr>
            <w:rStyle w:val="Hipercze"/>
            <w:sz w:val="18"/>
            <w:szCs w:val="18"/>
            <w:u w:val="none"/>
            <w:lang w:val="en-US"/>
          </w:rPr>
          <w:t>@PROSAFE_ORG</w:t>
        </w:r>
      </w:hyperlink>
      <w:r w:rsidR="00A353B3" w:rsidRPr="00004345">
        <w:rPr>
          <w:sz w:val="18"/>
          <w:szCs w:val="18"/>
        </w:rPr>
        <w:t xml:space="preserve"> </w:t>
      </w:r>
      <w:r w:rsidR="003A6670">
        <w:rPr>
          <w:sz w:val="18"/>
          <w:szCs w:val="18"/>
        </w:rPr>
        <w:t>and</w:t>
      </w:r>
      <w:r w:rsidR="00206383">
        <w:rPr>
          <w:sz w:val="18"/>
          <w:szCs w:val="18"/>
        </w:rPr>
        <w:t xml:space="preserve"> </w:t>
      </w:r>
      <w:hyperlink r:id="rId19" w:history="1">
        <w:r w:rsidR="00A353B3" w:rsidRPr="00004345">
          <w:rPr>
            <w:rStyle w:val="Hipercze"/>
            <w:sz w:val="18"/>
            <w:szCs w:val="18"/>
            <w:u w:val="none"/>
          </w:rPr>
          <w:t>@MSTyr15</w:t>
        </w:r>
      </w:hyperlink>
      <w:r w:rsidR="001B6F03" w:rsidRPr="00004345">
        <w:rPr>
          <w:sz w:val="18"/>
          <w:szCs w:val="18"/>
        </w:rPr>
        <w:t xml:space="preserve"> for news and </w:t>
      </w:r>
      <w:r w:rsidR="00D14075" w:rsidRPr="00004345">
        <w:rPr>
          <w:sz w:val="18"/>
          <w:szCs w:val="18"/>
        </w:rPr>
        <w:t xml:space="preserve">regular </w:t>
      </w:r>
      <w:r w:rsidR="001B6F03" w:rsidRPr="00004345">
        <w:rPr>
          <w:sz w:val="18"/>
          <w:szCs w:val="18"/>
        </w:rPr>
        <w:t xml:space="preserve">updates on </w:t>
      </w:r>
      <w:r w:rsidR="00287FAD">
        <w:rPr>
          <w:sz w:val="18"/>
          <w:szCs w:val="18"/>
        </w:rPr>
        <w:t xml:space="preserve">the </w:t>
      </w:r>
      <w:r w:rsidR="001B6F03" w:rsidRPr="00004345">
        <w:rPr>
          <w:sz w:val="18"/>
          <w:szCs w:val="18"/>
        </w:rPr>
        <w:t>project results</w:t>
      </w:r>
      <w:r w:rsidR="00A353B3" w:rsidRPr="00004345">
        <w:rPr>
          <w:sz w:val="18"/>
          <w:szCs w:val="18"/>
        </w:rPr>
        <w:t>.</w:t>
      </w:r>
      <w:r w:rsidR="00196AF8" w:rsidRPr="00004345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75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C7F1"/>
        <w:tblLook w:val="01E0" w:firstRow="1" w:lastRow="1" w:firstColumn="1" w:lastColumn="1" w:noHBand="0" w:noVBand="0"/>
      </w:tblPr>
      <w:tblGrid>
        <w:gridCol w:w="9670"/>
      </w:tblGrid>
      <w:tr w:rsidR="0033257C" w:rsidRPr="006028A2" w14:paraId="05C385B3" w14:textId="77777777" w:rsidTr="004E3571">
        <w:trPr>
          <w:trHeight w:val="1839"/>
        </w:trPr>
        <w:tc>
          <w:tcPr>
            <w:tcW w:w="9670" w:type="dxa"/>
            <w:shd w:val="clear" w:color="auto" w:fill="C5C7F1"/>
          </w:tcPr>
          <w:p w14:paraId="0B7234FE" w14:textId="77777777" w:rsidR="00D61D1A" w:rsidRPr="00D61D1A" w:rsidRDefault="00D61D1A" w:rsidP="00004345">
            <w:pPr>
              <w:keepNext/>
              <w:autoSpaceDE w:val="0"/>
              <w:autoSpaceDN w:val="0"/>
              <w:adjustRightInd w:val="0"/>
              <w:spacing w:after="20"/>
              <w:rPr>
                <w:rFonts w:cs="^Ö'C0œÒ◊"/>
                <w:b/>
                <w:sz w:val="4"/>
                <w:szCs w:val="19"/>
              </w:rPr>
            </w:pPr>
          </w:p>
          <w:p w14:paraId="3767982A" w14:textId="77777777" w:rsidR="0033257C" w:rsidRDefault="0033257C" w:rsidP="00004345">
            <w:pPr>
              <w:keepNext/>
              <w:autoSpaceDE w:val="0"/>
              <w:autoSpaceDN w:val="0"/>
              <w:adjustRightInd w:val="0"/>
              <w:spacing w:after="20"/>
              <w:rPr>
                <w:rFonts w:cs="^Ö'C0œÒ◊"/>
                <w:b/>
                <w:sz w:val="18"/>
                <w:szCs w:val="19"/>
                <w:u w:val="single"/>
              </w:rPr>
            </w:pPr>
            <w:r w:rsidRPr="00155204">
              <w:rPr>
                <w:rFonts w:cs="^Ö'C0œÒ◊"/>
                <w:b/>
                <w:sz w:val="18"/>
                <w:szCs w:val="19"/>
                <w:u w:val="single"/>
              </w:rPr>
              <w:t>Disclaimer</w:t>
            </w:r>
          </w:p>
          <w:p w14:paraId="1C455D53" w14:textId="77777777" w:rsidR="00AC02FF" w:rsidRPr="00F90542" w:rsidRDefault="00AC02FF" w:rsidP="00004345">
            <w:pPr>
              <w:keepNext/>
              <w:autoSpaceDE w:val="0"/>
              <w:autoSpaceDN w:val="0"/>
              <w:adjustRightInd w:val="0"/>
              <w:spacing w:after="20"/>
              <w:rPr>
                <w:rFonts w:cs="^Ö'C0œÒ◊"/>
                <w:b/>
                <w:sz w:val="10"/>
                <w:szCs w:val="19"/>
                <w:u w:val="single"/>
              </w:rPr>
            </w:pPr>
          </w:p>
          <w:p w14:paraId="2C19F95E" w14:textId="77777777" w:rsidR="0033257C" w:rsidRPr="00196AF8" w:rsidRDefault="0033257C" w:rsidP="00004345">
            <w:pPr>
              <w:spacing w:after="20"/>
              <w:jc w:val="both"/>
              <w:rPr>
                <w:sz w:val="18"/>
                <w:szCs w:val="19"/>
              </w:rPr>
            </w:pPr>
            <w:r w:rsidRPr="00196AF8">
              <w:rPr>
                <w:sz w:val="18"/>
                <w:szCs w:val="19"/>
              </w:rPr>
              <w:t>This PROSAFE press release arises from the Action MSTyr15, which receives funding from the European Union’s Horizon 2020 research and innovation programme under grant agreement number 696124.</w:t>
            </w:r>
          </w:p>
          <w:p w14:paraId="7B80582C" w14:textId="77777777" w:rsidR="0033257C" w:rsidRPr="006028A2" w:rsidRDefault="0033257C" w:rsidP="00004345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Cambria" w:hAnsi="Cambria"/>
                <w:color w:val="FFFFFF"/>
                <w:sz w:val="19"/>
                <w:szCs w:val="19"/>
              </w:rPr>
            </w:pPr>
            <w:r w:rsidRPr="00196AF8">
              <w:rPr>
                <w:sz w:val="18"/>
                <w:szCs w:val="19"/>
              </w:rPr>
              <w:t>The content of this press release represents the views of the author and it is his sole responsibility; it can in no way be taken to reflect the views of the</w:t>
            </w:r>
            <w:r w:rsidRPr="00196AF8">
              <w:rPr>
                <w:i/>
                <w:sz w:val="18"/>
                <w:szCs w:val="19"/>
              </w:rPr>
              <w:t xml:space="preserve"> Executive Agency for Small and Medium Enterprises (EASME)</w:t>
            </w:r>
            <w:r w:rsidRPr="00196AF8">
              <w:rPr>
                <w:sz w:val="18"/>
                <w:szCs w:val="19"/>
              </w:rPr>
              <w:t xml:space="preserve"> or any other body of the European Union. </w:t>
            </w:r>
            <w:r w:rsidRPr="00196AF8">
              <w:rPr>
                <w:i/>
                <w:sz w:val="18"/>
                <w:szCs w:val="19"/>
              </w:rPr>
              <w:t>EASME</w:t>
            </w:r>
            <w:r w:rsidRPr="00196AF8">
              <w:rPr>
                <w:sz w:val="18"/>
                <w:szCs w:val="19"/>
              </w:rPr>
              <w:t xml:space="preserve"> does not accept responsibility for any use that may be made of the information it contains.</w:t>
            </w:r>
          </w:p>
        </w:tc>
      </w:tr>
    </w:tbl>
    <w:p w14:paraId="38ECE54A" w14:textId="77777777" w:rsidR="0069381B" w:rsidRPr="00004345" w:rsidRDefault="0069381B" w:rsidP="00206383"/>
    <w:sectPr w:rsidR="0069381B" w:rsidRPr="00004345" w:rsidSect="001C5BE2">
      <w:headerReference w:type="default" r:id="rId20"/>
      <w:footerReference w:type="default" r:id="rId21"/>
      <w:pgSz w:w="12240" w:h="15840"/>
      <w:pgMar w:top="2090" w:right="1440" w:bottom="993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8D583" w14:textId="77777777" w:rsidR="004428A7" w:rsidRDefault="004428A7" w:rsidP="0069381B">
      <w:r>
        <w:separator/>
      </w:r>
    </w:p>
  </w:endnote>
  <w:endnote w:type="continuationSeparator" w:id="0">
    <w:p w14:paraId="7C6393DE" w14:textId="77777777" w:rsidR="004428A7" w:rsidRDefault="004428A7" w:rsidP="0069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^Ö'C0œÒ◊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698898"/>
      <w:docPartObj>
        <w:docPartGallery w:val="Page Numbers (Bottom of Page)"/>
        <w:docPartUnique/>
      </w:docPartObj>
    </w:sdtPr>
    <w:sdtEndPr/>
    <w:sdtContent>
      <w:p w14:paraId="6E0729D1" w14:textId="48CCA1C0" w:rsidR="006D0F9C" w:rsidRPr="009166A1" w:rsidRDefault="009166A1" w:rsidP="009166A1">
        <w:pPr>
          <w:pStyle w:val="Stopka"/>
          <w:jc w:val="right"/>
          <w:rPr>
            <w:sz w:val="16"/>
          </w:rPr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371A9FE" wp14:editId="7A935182">
                  <wp:simplePos x="0" y="0"/>
                  <wp:positionH relativeFrom="column">
                    <wp:posOffset>-55418</wp:posOffset>
                  </wp:positionH>
                  <wp:positionV relativeFrom="paragraph">
                    <wp:posOffset>-31000</wp:posOffset>
                  </wp:positionV>
                  <wp:extent cx="5999018" cy="415637"/>
                  <wp:effectExtent l="0" t="0" r="0" b="381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9018" cy="415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45B77" w14:textId="77777777" w:rsidR="009166A1" w:rsidRPr="00CD3117" w:rsidRDefault="009166A1" w:rsidP="00736F0E">
                              <w:pPr>
                                <w:pStyle w:val="Stopka"/>
                                <w:spacing w:line="276" w:lineRule="auto"/>
                                <w:jc w:val="center"/>
                                <w:rPr>
                                  <w:rFonts w:ascii="Trebuchet MS" w:eastAsia="Times New Roman" w:hAnsi="Trebuchet MS" w:cs="^Ö'C0œÒ◊"/>
                                  <w:color w:val="0A3296"/>
                                  <w:spacing w:val="2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CD3117">
                                <w:rPr>
                                  <w:rFonts w:ascii="Trebuchet MS" w:eastAsia="Times New Roman" w:hAnsi="Trebuchet MS" w:cs="^Ö'C0œÒ◊"/>
                                  <w:color w:val="0A3296"/>
                                  <w:spacing w:val="2"/>
                                  <w:sz w:val="16"/>
                                  <w:szCs w:val="18"/>
                                  <w:lang w:val="en-GB"/>
                                </w:rPr>
                                <w:t>PROSAFE Office, Avenue des Arts 41, B-1040 Brussels, Belgium</w:t>
                              </w:r>
                            </w:p>
                            <w:p w14:paraId="3DA5B873" w14:textId="77777777" w:rsidR="009166A1" w:rsidRPr="00CD3117" w:rsidRDefault="009166A1" w:rsidP="00736F0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cs="^Ö'C0œÒ◊"/>
                                  <w:color w:val="0A3296"/>
                                  <w:sz w:val="16"/>
                                  <w:szCs w:val="18"/>
                                </w:rPr>
                              </w:pPr>
                              <w:r w:rsidRPr="00CD3117">
                                <w:rPr>
                                  <w:rFonts w:cs="^Ö'C0œÒ◊"/>
                                  <w:color w:val="0A3296"/>
                                  <w:sz w:val="16"/>
                                  <w:szCs w:val="18"/>
                                </w:rPr>
                                <w:t>Tel: +32-2-8080 996</w:t>
                              </w:r>
                              <w:r w:rsidRPr="003529B9">
                                <w:rPr>
                                  <w:rFonts w:cs="^Ö'C0œÒ◊"/>
                                  <w:color w:val="0A3296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hyperlink r:id="rId1" w:history="1">
                                <w:r w:rsidRPr="003529B9">
                                  <w:rPr>
                                    <w:color w:val="0A3296"/>
                                    <w:sz w:val="16"/>
                                    <w:szCs w:val="16"/>
                                  </w:rPr>
                                  <w:t>info@prosafe.org</w:t>
                                </w:r>
                              </w:hyperlink>
                              <w:r w:rsidRPr="003529B9">
                                <w:rPr>
                                  <w:rFonts w:cs="^Ö'C0œÒ◊"/>
                                  <w:color w:val="0A3296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hyperlink r:id="rId2" w:history="1">
                                <w:r w:rsidRPr="003529B9">
                                  <w:rPr>
                                    <w:color w:val="0A3296"/>
                                    <w:sz w:val="16"/>
                                    <w:szCs w:val="16"/>
                                  </w:rPr>
                                  <w:t>www.prosafe.org</w:t>
                                </w:r>
                              </w:hyperlink>
                            </w:p>
                            <w:p w14:paraId="19A1F3EA" w14:textId="77777777" w:rsidR="009166A1" w:rsidRPr="00CD3117" w:rsidRDefault="009166A1" w:rsidP="00736F0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71A9F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.35pt;margin-top:-2.45pt;width:472.35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" filled="f" stroked="f">
                  <v:textbox>
                    <w:txbxContent>
                      <w:p w14:paraId="52345B77" w14:textId="77777777" w:rsidR="009166A1" w:rsidRPr="00CD3117" w:rsidRDefault="009166A1" w:rsidP="00736F0E">
                        <w:pPr>
                          <w:pStyle w:val="Stopka"/>
                          <w:spacing w:line="276" w:lineRule="auto"/>
                          <w:jc w:val="center"/>
                          <w:rPr>
                            <w:rFonts w:ascii="Trebuchet MS" w:eastAsia="Times New Roman" w:hAnsi="Trebuchet MS" w:cs="^Ö'C0œÒ◊"/>
                            <w:color w:val="0A3296"/>
                            <w:spacing w:val="2"/>
                            <w:sz w:val="16"/>
                            <w:szCs w:val="18"/>
                            <w:lang w:val="en-GB"/>
                          </w:rPr>
                        </w:pPr>
                        <w:r w:rsidRPr="00CD3117">
                          <w:rPr>
                            <w:rFonts w:ascii="Trebuchet MS" w:eastAsia="Times New Roman" w:hAnsi="Trebuchet MS" w:cs="^Ö'C0œÒ◊"/>
                            <w:color w:val="0A3296"/>
                            <w:spacing w:val="2"/>
                            <w:sz w:val="16"/>
                            <w:szCs w:val="18"/>
                            <w:lang w:val="en-GB"/>
                          </w:rPr>
                          <w:t>PROSAFE Office, Avenue des Arts 41, B-1040 Brussels, Belgium</w:t>
                        </w:r>
                      </w:p>
                      <w:p w14:paraId="3DA5B873" w14:textId="77777777" w:rsidR="009166A1" w:rsidRPr="00CD3117" w:rsidRDefault="009166A1" w:rsidP="00736F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cs="^Ö'C0œÒ◊"/>
                            <w:color w:val="0A3296"/>
                            <w:sz w:val="16"/>
                            <w:szCs w:val="18"/>
                          </w:rPr>
                        </w:pPr>
                        <w:r w:rsidRPr="00CD3117">
                          <w:rPr>
                            <w:rFonts w:cs="^Ö'C0œÒ◊"/>
                            <w:color w:val="0A3296"/>
                            <w:sz w:val="16"/>
                            <w:szCs w:val="18"/>
                          </w:rPr>
                          <w:t>Tel: +32-2-8080 996</w:t>
                        </w:r>
                        <w:r w:rsidRPr="003529B9">
                          <w:rPr>
                            <w:rFonts w:cs="^Ö'C0œÒ◊"/>
                            <w:color w:val="0A3296"/>
                            <w:sz w:val="16"/>
                            <w:szCs w:val="16"/>
                          </w:rPr>
                          <w:t xml:space="preserve"> - </w:t>
                        </w:r>
                        <w:hyperlink r:id="rId3" w:history="1">
                          <w:r w:rsidRPr="003529B9">
                            <w:rPr>
                              <w:color w:val="0A3296"/>
                              <w:sz w:val="16"/>
                              <w:szCs w:val="16"/>
                            </w:rPr>
                            <w:t>info@prosafe.org</w:t>
                          </w:r>
                        </w:hyperlink>
                        <w:r w:rsidRPr="003529B9">
                          <w:rPr>
                            <w:rFonts w:cs="^Ö'C0œÒ◊"/>
                            <w:color w:val="0A3296"/>
                            <w:sz w:val="16"/>
                            <w:szCs w:val="16"/>
                          </w:rPr>
                          <w:t xml:space="preserve"> - </w:t>
                        </w:r>
                        <w:hyperlink r:id="rId4" w:history="1">
                          <w:r w:rsidRPr="003529B9">
                            <w:rPr>
                              <w:color w:val="0A3296"/>
                              <w:sz w:val="16"/>
                              <w:szCs w:val="16"/>
                            </w:rPr>
                            <w:t>www.prosafe.org</w:t>
                          </w:r>
                        </w:hyperlink>
                      </w:p>
                      <w:p w14:paraId="19A1F3EA" w14:textId="77777777" w:rsidR="009166A1" w:rsidRPr="00CD3117" w:rsidRDefault="009166A1" w:rsidP="00736F0E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6D0F9C">
          <w:t xml:space="preserve">| </w:t>
        </w:r>
        <w:r w:rsidR="006D0F9C" w:rsidRPr="002A1022">
          <w:rPr>
            <w:rFonts w:ascii="Trebuchet MS" w:hAnsi="Trebuchet MS"/>
            <w:sz w:val="20"/>
          </w:rPr>
          <w:fldChar w:fldCharType="begin"/>
        </w:r>
        <w:r w:rsidR="006D0F9C" w:rsidRPr="002A1022">
          <w:rPr>
            <w:rFonts w:ascii="Trebuchet MS" w:hAnsi="Trebuchet MS"/>
            <w:sz w:val="20"/>
          </w:rPr>
          <w:instrText xml:space="preserve"> PAGE   \* MERGEFORMAT </w:instrText>
        </w:r>
        <w:r w:rsidR="006D0F9C" w:rsidRPr="002A1022">
          <w:rPr>
            <w:rFonts w:ascii="Trebuchet MS" w:hAnsi="Trebuchet MS"/>
            <w:sz w:val="20"/>
          </w:rPr>
          <w:fldChar w:fldCharType="separate"/>
        </w:r>
        <w:r w:rsidR="00262A96">
          <w:rPr>
            <w:rFonts w:ascii="Trebuchet MS" w:hAnsi="Trebuchet MS"/>
            <w:noProof/>
            <w:sz w:val="20"/>
          </w:rPr>
          <w:t>2</w:t>
        </w:r>
        <w:r w:rsidR="006D0F9C" w:rsidRPr="002A1022">
          <w:rPr>
            <w:rFonts w:ascii="Trebuchet MS" w:hAnsi="Trebuchet MS"/>
            <w:noProof/>
            <w:sz w:val="20"/>
          </w:rPr>
          <w:fldChar w:fldCharType="end"/>
        </w:r>
        <w:r w:rsidR="006D0F9C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734F4" w14:textId="77777777" w:rsidR="004428A7" w:rsidRDefault="004428A7" w:rsidP="0069381B">
      <w:r>
        <w:separator/>
      </w:r>
    </w:p>
  </w:footnote>
  <w:footnote w:type="continuationSeparator" w:id="0">
    <w:p w14:paraId="1ECE9A7F" w14:textId="77777777" w:rsidR="004428A7" w:rsidRDefault="004428A7" w:rsidP="0069381B">
      <w:r>
        <w:continuationSeparator/>
      </w:r>
    </w:p>
  </w:footnote>
  <w:footnote w:id="1">
    <w:p w14:paraId="00AAD913" w14:textId="77777777" w:rsidR="00670276" w:rsidRPr="009C0D16" w:rsidRDefault="00670276" w:rsidP="00670276">
      <w:pPr>
        <w:pStyle w:val="Tekstprzypisudolnego"/>
        <w:rPr>
          <w:sz w:val="16"/>
          <w:szCs w:val="16"/>
          <w:lang w:val="en-US"/>
        </w:rPr>
      </w:pPr>
      <w:r w:rsidRPr="009C0D16">
        <w:rPr>
          <w:rStyle w:val="Odwoanieprzypisudolnego"/>
          <w:sz w:val="16"/>
          <w:szCs w:val="16"/>
        </w:rPr>
        <w:footnoteRef/>
      </w:r>
      <w:r w:rsidRPr="009C0D16">
        <w:rPr>
          <w:sz w:val="16"/>
          <w:szCs w:val="16"/>
        </w:rPr>
        <w:t xml:space="preserve"> </w:t>
      </w:r>
      <w:hyperlink r:id="rId1" w:history="1">
        <w:r w:rsidRPr="009C0D16">
          <w:rPr>
            <w:rStyle w:val="Hipercze"/>
            <w:sz w:val="16"/>
            <w:szCs w:val="16"/>
          </w:rPr>
          <w:t>https://eur-lex.europa.eu/legal-content/EN/ALL/?uri=celex:32011R1235</w:t>
        </w:r>
      </w:hyperlink>
    </w:p>
  </w:footnote>
  <w:footnote w:id="2">
    <w:p w14:paraId="3556504C" w14:textId="77777777" w:rsidR="00A759CF" w:rsidRPr="00A759CF" w:rsidRDefault="00A759CF" w:rsidP="00937AFA">
      <w:pPr>
        <w:pStyle w:val="Tekstprzypisudolnego"/>
        <w:rPr>
          <w:lang w:val="en-US"/>
        </w:rPr>
      </w:pPr>
      <w:r w:rsidRPr="009C0D16">
        <w:rPr>
          <w:rStyle w:val="Odwoanieprzypisudolnego"/>
          <w:sz w:val="16"/>
          <w:szCs w:val="16"/>
        </w:rPr>
        <w:footnoteRef/>
      </w:r>
      <w:r w:rsidRPr="009C0D16">
        <w:rPr>
          <w:sz w:val="16"/>
          <w:szCs w:val="16"/>
        </w:rPr>
        <w:t xml:space="preserve"> </w:t>
      </w:r>
      <w:hyperlink r:id="rId2" w:history="1">
        <w:r w:rsidRPr="009C0D16">
          <w:rPr>
            <w:rStyle w:val="Hipercze"/>
            <w:sz w:val="16"/>
            <w:szCs w:val="16"/>
            <w:lang w:val="cs-CZ"/>
          </w:rPr>
          <w:t>https://ec.europa.eu/growth/single-market/goods/building-blocks/icsms_en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B4C6" w14:textId="107DE763" w:rsidR="0069381B" w:rsidRDefault="0033177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DDEC08C" wp14:editId="7807E9CE">
          <wp:simplePos x="0" y="0"/>
          <wp:positionH relativeFrom="margin">
            <wp:posOffset>-70485</wp:posOffset>
          </wp:positionH>
          <wp:positionV relativeFrom="margin">
            <wp:posOffset>-911860</wp:posOffset>
          </wp:positionV>
          <wp:extent cx="1357630" cy="706755"/>
          <wp:effectExtent l="0" t="0" r="0" b="0"/>
          <wp:wrapSquare wrapText="bothSides"/>
          <wp:docPr id="3" name="Picture 3" descr="ProSafe_logo_2014_for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Safe_logo_2014_for 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A66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FE915C9" wp14:editId="3BF59B35">
          <wp:simplePos x="0" y="0"/>
          <wp:positionH relativeFrom="column">
            <wp:posOffset>4036060</wp:posOffset>
          </wp:positionH>
          <wp:positionV relativeFrom="paragraph">
            <wp:posOffset>144780</wp:posOffset>
          </wp:positionV>
          <wp:extent cx="2077720" cy="530860"/>
          <wp:effectExtent l="0" t="0" r="0" b="2540"/>
          <wp:wrapSquare wrapText="bothSides"/>
          <wp:docPr id="2" name="Picture 2" descr="E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C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8501C44" wp14:editId="492269F3">
          <wp:simplePos x="0" y="0"/>
          <wp:positionH relativeFrom="margin">
            <wp:posOffset>2179320</wp:posOffset>
          </wp:positionH>
          <wp:positionV relativeFrom="margin">
            <wp:posOffset>-780415</wp:posOffset>
          </wp:positionV>
          <wp:extent cx="1043305" cy="574675"/>
          <wp:effectExtent l="0" t="0" r="4445" b="0"/>
          <wp:wrapSquare wrapText="bothSides"/>
          <wp:docPr id="1" name="Picture 1" descr="Logo MSTyr1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STyr15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81B">
      <w:ptab w:relativeTo="margin" w:alignment="center" w:leader="none"/>
    </w:r>
    <w:r w:rsidR="0069381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B35AA"/>
    <w:multiLevelType w:val="hybridMultilevel"/>
    <w:tmpl w:val="14488DDC"/>
    <w:lvl w:ilvl="0" w:tplc="B768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CD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8D0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8A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4D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8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2A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C0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E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B"/>
    <w:rsid w:val="00004345"/>
    <w:rsid w:val="00005BBE"/>
    <w:rsid w:val="0000743C"/>
    <w:rsid w:val="00012875"/>
    <w:rsid w:val="00044EF8"/>
    <w:rsid w:val="00066B83"/>
    <w:rsid w:val="000700BB"/>
    <w:rsid w:val="00082D0B"/>
    <w:rsid w:val="000A181A"/>
    <w:rsid w:val="000A2AB9"/>
    <w:rsid w:val="000A2C68"/>
    <w:rsid w:val="000A7FF4"/>
    <w:rsid w:val="000C7121"/>
    <w:rsid w:val="000D31D6"/>
    <w:rsid w:val="001069DA"/>
    <w:rsid w:val="001218CB"/>
    <w:rsid w:val="00135385"/>
    <w:rsid w:val="0014176F"/>
    <w:rsid w:val="00155204"/>
    <w:rsid w:val="00166DA3"/>
    <w:rsid w:val="00171160"/>
    <w:rsid w:val="0017478A"/>
    <w:rsid w:val="00176AB5"/>
    <w:rsid w:val="00194543"/>
    <w:rsid w:val="00196AF8"/>
    <w:rsid w:val="001A20DB"/>
    <w:rsid w:val="001A3071"/>
    <w:rsid w:val="001A7CD2"/>
    <w:rsid w:val="001B6F03"/>
    <w:rsid w:val="001C5BE2"/>
    <w:rsid w:val="001F084B"/>
    <w:rsid w:val="001F4C47"/>
    <w:rsid w:val="001F6102"/>
    <w:rsid w:val="00206383"/>
    <w:rsid w:val="002142FD"/>
    <w:rsid w:val="002212D5"/>
    <w:rsid w:val="0023075F"/>
    <w:rsid w:val="00245F35"/>
    <w:rsid w:val="00246DC1"/>
    <w:rsid w:val="00250855"/>
    <w:rsid w:val="00262A96"/>
    <w:rsid w:val="00266F16"/>
    <w:rsid w:val="00286F99"/>
    <w:rsid w:val="00287FAD"/>
    <w:rsid w:val="002A1022"/>
    <w:rsid w:val="002C551E"/>
    <w:rsid w:val="002E6139"/>
    <w:rsid w:val="0030517B"/>
    <w:rsid w:val="00306FCF"/>
    <w:rsid w:val="0033177A"/>
    <w:rsid w:val="0033257C"/>
    <w:rsid w:val="003434A9"/>
    <w:rsid w:val="00351D9E"/>
    <w:rsid w:val="003529B9"/>
    <w:rsid w:val="0035440C"/>
    <w:rsid w:val="00372BA5"/>
    <w:rsid w:val="003A53C4"/>
    <w:rsid w:val="003A6670"/>
    <w:rsid w:val="003B24FE"/>
    <w:rsid w:val="003C46D5"/>
    <w:rsid w:val="003C5569"/>
    <w:rsid w:val="003C5CF8"/>
    <w:rsid w:val="003D14A0"/>
    <w:rsid w:val="003E7054"/>
    <w:rsid w:val="003F49A2"/>
    <w:rsid w:val="0040699C"/>
    <w:rsid w:val="004262C3"/>
    <w:rsid w:val="00435815"/>
    <w:rsid w:val="0043686F"/>
    <w:rsid w:val="00441398"/>
    <w:rsid w:val="004413AA"/>
    <w:rsid w:val="0044168A"/>
    <w:rsid w:val="004419D5"/>
    <w:rsid w:val="004428A7"/>
    <w:rsid w:val="00453A3A"/>
    <w:rsid w:val="00464FE1"/>
    <w:rsid w:val="00473101"/>
    <w:rsid w:val="004924F3"/>
    <w:rsid w:val="004979C6"/>
    <w:rsid w:val="004B05F4"/>
    <w:rsid w:val="004C0577"/>
    <w:rsid w:val="004D5CAB"/>
    <w:rsid w:val="004D68CB"/>
    <w:rsid w:val="004E3571"/>
    <w:rsid w:val="004F3E57"/>
    <w:rsid w:val="004F6ACE"/>
    <w:rsid w:val="005342D7"/>
    <w:rsid w:val="00536380"/>
    <w:rsid w:val="00542FC5"/>
    <w:rsid w:val="005719AE"/>
    <w:rsid w:val="005805C0"/>
    <w:rsid w:val="005B62BA"/>
    <w:rsid w:val="005B6F6C"/>
    <w:rsid w:val="005D76E7"/>
    <w:rsid w:val="005E4943"/>
    <w:rsid w:val="005E7BE7"/>
    <w:rsid w:val="00602A66"/>
    <w:rsid w:val="00604D73"/>
    <w:rsid w:val="006216D7"/>
    <w:rsid w:val="00625201"/>
    <w:rsid w:val="006279F9"/>
    <w:rsid w:val="0063240B"/>
    <w:rsid w:val="0064205F"/>
    <w:rsid w:val="0064255A"/>
    <w:rsid w:val="006475DD"/>
    <w:rsid w:val="00655F73"/>
    <w:rsid w:val="006578A4"/>
    <w:rsid w:val="00663F76"/>
    <w:rsid w:val="00670276"/>
    <w:rsid w:val="00673DE9"/>
    <w:rsid w:val="006768C0"/>
    <w:rsid w:val="00683F92"/>
    <w:rsid w:val="00686F3F"/>
    <w:rsid w:val="0069381B"/>
    <w:rsid w:val="006A06C8"/>
    <w:rsid w:val="006C4A72"/>
    <w:rsid w:val="006D0F9C"/>
    <w:rsid w:val="006D67ED"/>
    <w:rsid w:val="006F7398"/>
    <w:rsid w:val="007117FB"/>
    <w:rsid w:val="00715666"/>
    <w:rsid w:val="00715E5D"/>
    <w:rsid w:val="0072269F"/>
    <w:rsid w:val="00730244"/>
    <w:rsid w:val="007326F5"/>
    <w:rsid w:val="00736F0E"/>
    <w:rsid w:val="00757A8D"/>
    <w:rsid w:val="00761B74"/>
    <w:rsid w:val="00765022"/>
    <w:rsid w:val="007671A9"/>
    <w:rsid w:val="00773617"/>
    <w:rsid w:val="00773BBD"/>
    <w:rsid w:val="0077449E"/>
    <w:rsid w:val="007763C3"/>
    <w:rsid w:val="0078018C"/>
    <w:rsid w:val="00780A78"/>
    <w:rsid w:val="00781250"/>
    <w:rsid w:val="00786CC8"/>
    <w:rsid w:val="00795AC5"/>
    <w:rsid w:val="007B269A"/>
    <w:rsid w:val="007B32EB"/>
    <w:rsid w:val="007C573E"/>
    <w:rsid w:val="007D3C1C"/>
    <w:rsid w:val="007D61B2"/>
    <w:rsid w:val="007F5C63"/>
    <w:rsid w:val="008036BC"/>
    <w:rsid w:val="00806748"/>
    <w:rsid w:val="00806989"/>
    <w:rsid w:val="00807C86"/>
    <w:rsid w:val="00813357"/>
    <w:rsid w:val="00813D9F"/>
    <w:rsid w:val="008150F9"/>
    <w:rsid w:val="0084469D"/>
    <w:rsid w:val="00847141"/>
    <w:rsid w:val="008535B4"/>
    <w:rsid w:val="00863168"/>
    <w:rsid w:val="008645CE"/>
    <w:rsid w:val="0086475F"/>
    <w:rsid w:val="00881085"/>
    <w:rsid w:val="008929F7"/>
    <w:rsid w:val="008A00EB"/>
    <w:rsid w:val="008A53DC"/>
    <w:rsid w:val="008B2F9F"/>
    <w:rsid w:val="008D2202"/>
    <w:rsid w:val="008E353E"/>
    <w:rsid w:val="008F5476"/>
    <w:rsid w:val="008F6063"/>
    <w:rsid w:val="008F6A2E"/>
    <w:rsid w:val="0090312D"/>
    <w:rsid w:val="009166A1"/>
    <w:rsid w:val="0093346C"/>
    <w:rsid w:val="009362A6"/>
    <w:rsid w:val="00937AFA"/>
    <w:rsid w:val="00957D2D"/>
    <w:rsid w:val="00966696"/>
    <w:rsid w:val="0097012C"/>
    <w:rsid w:val="009755C0"/>
    <w:rsid w:val="00997CFD"/>
    <w:rsid w:val="009A27E9"/>
    <w:rsid w:val="009A400C"/>
    <w:rsid w:val="009B0462"/>
    <w:rsid w:val="009C0D16"/>
    <w:rsid w:val="009C1913"/>
    <w:rsid w:val="009D195C"/>
    <w:rsid w:val="009D527D"/>
    <w:rsid w:val="009E3EF6"/>
    <w:rsid w:val="009E52B0"/>
    <w:rsid w:val="009F37D7"/>
    <w:rsid w:val="009F4F43"/>
    <w:rsid w:val="009F7639"/>
    <w:rsid w:val="00A12882"/>
    <w:rsid w:val="00A2037D"/>
    <w:rsid w:val="00A20D52"/>
    <w:rsid w:val="00A32FE3"/>
    <w:rsid w:val="00A353B3"/>
    <w:rsid w:val="00A360D2"/>
    <w:rsid w:val="00A43E32"/>
    <w:rsid w:val="00A44EE3"/>
    <w:rsid w:val="00A53E4E"/>
    <w:rsid w:val="00A627FC"/>
    <w:rsid w:val="00A71D54"/>
    <w:rsid w:val="00A726D8"/>
    <w:rsid w:val="00A73990"/>
    <w:rsid w:val="00A759CF"/>
    <w:rsid w:val="00A827EC"/>
    <w:rsid w:val="00A85C84"/>
    <w:rsid w:val="00AA0C6A"/>
    <w:rsid w:val="00AB6B09"/>
    <w:rsid w:val="00AC02FF"/>
    <w:rsid w:val="00AE0DA9"/>
    <w:rsid w:val="00AE7C61"/>
    <w:rsid w:val="00AF47F6"/>
    <w:rsid w:val="00AF55CA"/>
    <w:rsid w:val="00B022AB"/>
    <w:rsid w:val="00B23EF5"/>
    <w:rsid w:val="00B3548E"/>
    <w:rsid w:val="00B454F5"/>
    <w:rsid w:val="00B4763F"/>
    <w:rsid w:val="00B5428F"/>
    <w:rsid w:val="00B56AD6"/>
    <w:rsid w:val="00B633B4"/>
    <w:rsid w:val="00B76E7C"/>
    <w:rsid w:val="00B77173"/>
    <w:rsid w:val="00B83EF1"/>
    <w:rsid w:val="00B91CE9"/>
    <w:rsid w:val="00BA2FA4"/>
    <w:rsid w:val="00BC060D"/>
    <w:rsid w:val="00BC1AA7"/>
    <w:rsid w:val="00BD70ED"/>
    <w:rsid w:val="00BF7AE0"/>
    <w:rsid w:val="00C069B6"/>
    <w:rsid w:val="00C305FB"/>
    <w:rsid w:val="00C37F4A"/>
    <w:rsid w:val="00C413C5"/>
    <w:rsid w:val="00C47CE2"/>
    <w:rsid w:val="00C56D66"/>
    <w:rsid w:val="00C616FE"/>
    <w:rsid w:val="00C62CEC"/>
    <w:rsid w:val="00C9159B"/>
    <w:rsid w:val="00CA17C7"/>
    <w:rsid w:val="00CA6B31"/>
    <w:rsid w:val="00CB7633"/>
    <w:rsid w:val="00CD3117"/>
    <w:rsid w:val="00CE0508"/>
    <w:rsid w:val="00D022B3"/>
    <w:rsid w:val="00D031DF"/>
    <w:rsid w:val="00D14075"/>
    <w:rsid w:val="00D23CB2"/>
    <w:rsid w:val="00D2552F"/>
    <w:rsid w:val="00D31FBF"/>
    <w:rsid w:val="00D36AFF"/>
    <w:rsid w:val="00D42555"/>
    <w:rsid w:val="00D4611C"/>
    <w:rsid w:val="00D50EBE"/>
    <w:rsid w:val="00D51DD0"/>
    <w:rsid w:val="00D61D1A"/>
    <w:rsid w:val="00D67132"/>
    <w:rsid w:val="00D710A7"/>
    <w:rsid w:val="00D73641"/>
    <w:rsid w:val="00DB507E"/>
    <w:rsid w:val="00DC65DE"/>
    <w:rsid w:val="00DD1F06"/>
    <w:rsid w:val="00DD506D"/>
    <w:rsid w:val="00DE24DC"/>
    <w:rsid w:val="00DE3A8E"/>
    <w:rsid w:val="00DE6B16"/>
    <w:rsid w:val="00E0139D"/>
    <w:rsid w:val="00E01EF6"/>
    <w:rsid w:val="00E024E9"/>
    <w:rsid w:val="00E043C0"/>
    <w:rsid w:val="00E15A29"/>
    <w:rsid w:val="00E220C9"/>
    <w:rsid w:val="00E275C6"/>
    <w:rsid w:val="00E312BD"/>
    <w:rsid w:val="00E356CB"/>
    <w:rsid w:val="00E43F36"/>
    <w:rsid w:val="00E530F0"/>
    <w:rsid w:val="00E76126"/>
    <w:rsid w:val="00E851B5"/>
    <w:rsid w:val="00EA4ABB"/>
    <w:rsid w:val="00EA6E96"/>
    <w:rsid w:val="00EB67AA"/>
    <w:rsid w:val="00EC14EA"/>
    <w:rsid w:val="00EC5680"/>
    <w:rsid w:val="00ED5470"/>
    <w:rsid w:val="00F17864"/>
    <w:rsid w:val="00F2007A"/>
    <w:rsid w:val="00F228FD"/>
    <w:rsid w:val="00F50A38"/>
    <w:rsid w:val="00F625C0"/>
    <w:rsid w:val="00F664B2"/>
    <w:rsid w:val="00F66D34"/>
    <w:rsid w:val="00F67327"/>
    <w:rsid w:val="00F70410"/>
    <w:rsid w:val="00F87AF9"/>
    <w:rsid w:val="00F901C8"/>
    <w:rsid w:val="00F90542"/>
    <w:rsid w:val="00F95793"/>
    <w:rsid w:val="00F96B22"/>
    <w:rsid w:val="00FC0BC0"/>
    <w:rsid w:val="00FC5EB5"/>
    <w:rsid w:val="00FC6A3D"/>
    <w:rsid w:val="00FD1B93"/>
    <w:rsid w:val="00FF08E4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520247"/>
  <w15:docId w15:val="{65F00527-1016-4CA2-8655-4579085B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81B"/>
    <w:pPr>
      <w:spacing w:after="0" w:line="240" w:lineRule="auto"/>
    </w:pPr>
    <w:rPr>
      <w:rFonts w:ascii="Trebuchet MS" w:eastAsia="Times New Roman" w:hAnsi="Trebuchet MS" w:cs="Times New Roman"/>
      <w:spacing w:val="2"/>
      <w:sz w:val="21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8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9381B"/>
  </w:style>
  <w:style w:type="paragraph" w:styleId="Stopka">
    <w:name w:val="footer"/>
    <w:basedOn w:val="Normalny"/>
    <w:link w:val="StopkaZnak"/>
    <w:uiPriority w:val="99"/>
    <w:unhideWhenUsed/>
    <w:rsid w:val="006938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9381B"/>
  </w:style>
  <w:style w:type="paragraph" w:styleId="Tekstdymka">
    <w:name w:val="Balloon Text"/>
    <w:basedOn w:val="Normalny"/>
    <w:link w:val="TekstdymkaZnak"/>
    <w:unhideWhenUsed/>
    <w:rsid w:val="0069381B"/>
    <w:rPr>
      <w:rFonts w:ascii="Tahoma" w:eastAsiaTheme="minorHAnsi" w:hAnsi="Tahoma" w:cs="Tahoma"/>
      <w:spacing w:val="0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rsid w:val="0069381B"/>
    <w:rPr>
      <w:rFonts w:ascii="Tahoma" w:hAnsi="Tahoma" w:cs="Tahoma"/>
      <w:sz w:val="16"/>
      <w:szCs w:val="16"/>
    </w:rPr>
  </w:style>
  <w:style w:type="character" w:styleId="Hipercze">
    <w:name w:val="Hyperlink"/>
    <w:rsid w:val="0069381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693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381B"/>
    <w:rPr>
      <w:rFonts w:ascii="Trebuchet MS" w:eastAsia="Times New Roman" w:hAnsi="Trebuchet MS" w:cs="Times New Roman"/>
      <w:spacing w:val="2"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8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81B"/>
    <w:rPr>
      <w:rFonts w:ascii="Trebuchet MS" w:eastAsia="Times New Roman" w:hAnsi="Trebuchet MS" w:cs="Times New Roman"/>
      <w:spacing w:val="2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81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93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1B"/>
    <w:rPr>
      <w:rFonts w:ascii="Trebuchet MS" w:eastAsia="Times New Roman" w:hAnsi="Trebuchet MS" w:cs="Times New Roman"/>
      <w:spacing w:val="2"/>
      <w:sz w:val="20"/>
      <w:szCs w:val="20"/>
      <w:lang w:val="en-GB"/>
    </w:rPr>
  </w:style>
  <w:style w:type="character" w:styleId="Odwoanieprzypisudolnego">
    <w:name w:val="footnote reference"/>
    <w:basedOn w:val="Domylnaczcionkaakapitu"/>
    <w:unhideWhenUsed/>
    <w:rsid w:val="0069381B"/>
    <w:rPr>
      <w:vertAlign w:val="superscript"/>
    </w:rPr>
  </w:style>
  <w:style w:type="character" w:styleId="Odwoaniedokomentarza">
    <w:name w:val="annotation reference"/>
    <w:uiPriority w:val="99"/>
    <w:rsid w:val="00176AB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B31"/>
    <w:rPr>
      <w:rFonts w:ascii="Trebuchet MS" w:eastAsia="Times New Roman" w:hAnsi="Trebuchet MS" w:cs="Times New Roman"/>
      <w:b/>
      <w:bCs/>
      <w:spacing w:val="2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4763F"/>
    <w:pPr>
      <w:ind w:left="720"/>
      <w:contextualSpacing/>
    </w:pPr>
    <w:rPr>
      <w:rFonts w:ascii="Times New Roman" w:hAnsi="Times New Roman"/>
      <w:spacing w:val="0"/>
      <w:sz w:val="24"/>
      <w:lang w:val="it-IT" w:eastAsia="it-I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370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afe.org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twitter.com/prosafe_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usew.eu/" TargetMode="External"/><Relationship Id="rId17" Type="http://schemas.openxmlformats.org/officeDocument/2006/relationships/hyperlink" Target="http://www.prosaf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tyr15.e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ed.at/en/world-sustainable-energy-day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rosaf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styr15.eu/" TargetMode="External"/><Relationship Id="rId19" Type="http://schemas.openxmlformats.org/officeDocument/2006/relationships/hyperlink" Target="https://twitter.com/mstyr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horizon2020/" TargetMode="External"/><Relationship Id="rId14" Type="http://schemas.openxmlformats.org/officeDocument/2006/relationships/hyperlink" Target="mailto:ioana@prosafe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safe.org" TargetMode="External"/><Relationship Id="rId2" Type="http://schemas.openxmlformats.org/officeDocument/2006/relationships/hyperlink" Target="http://www.prosafe.org" TargetMode="External"/><Relationship Id="rId1" Type="http://schemas.openxmlformats.org/officeDocument/2006/relationships/hyperlink" Target="mailto:info@prosafe.org" TargetMode="External"/><Relationship Id="rId4" Type="http://schemas.openxmlformats.org/officeDocument/2006/relationships/hyperlink" Target="http://www.prosafe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growth/single-market/goods/building-blocks/icsms_en" TargetMode="External"/><Relationship Id="rId1" Type="http://schemas.openxmlformats.org/officeDocument/2006/relationships/hyperlink" Target="https://eur-lex.europa.eu/legal-content/EN/ALL/?uri=celex:32011R123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4642-5DEC-4817-A255-1E5D0CF2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5502</Characters>
  <Application>Microsoft Office Word</Application>
  <DocSecurity>4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Prosafe - Kyriakos Papazoglou</dc:creator>
  <cp:lastModifiedBy>Malwina Buszko</cp:lastModifiedBy>
  <cp:revision>2</cp:revision>
  <cp:lastPrinted>2018-06-18T14:51:00Z</cp:lastPrinted>
  <dcterms:created xsi:type="dcterms:W3CDTF">2018-07-06T12:12:00Z</dcterms:created>
  <dcterms:modified xsi:type="dcterms:W3CDTF">2018-07-06T12:12:00Z</dcterms:modified>
</cp:coreProperties>
</file>